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C4BC0" w14:textId="77777777" w:rsidR="00220CEE" w:rsidRDefault="00220CEE">
      <w:pPr>
        <w:pStyle w:val="Textoindependiente"/>
        <w:kinsoku w:val="0"/>
        <w:overflowPunct w:val="0"/>
        <w:rPr>
          <w:rFonts w:ascii="Times New Roman" w:hAnsi="Times New Roman" w:cs="Times New Roman"/>
          <w:sz w:val="20"/>
          <w:szCs w:val="20"/>
        </w:rPr>
      </w:pPr>
    </w:p>
    <w:p w14:paraId="4272E51C" w14:textId="77777777" w:rsidR="00220CEE" w:rsidRDefault="00220CEE">
      <w:pPr>
        <w:pStyle w:val="Textoindependiente"/>
        <w:kinsoku w:val="0"/>
        <w:overflowPunct w:val="0"/>
      </w:pPr>
    </w:p>
    <w:p w14:paraId="4CCC2D47" w14:textId="77777777" w:rsidR="00220CEE" w:rsidRDefault="00000000">
      <w:pPr>
        <w:pStyle w:val="Ttulo1"/>
        <w:kinsoku w:val="0"/>
        <w:overflowPunct w:val="0"/>
        <w:ind w:left="1569"/>
        <w:jc w:val="center"/>
        <w:rPr>
          <w:u w:val="thick"/>
        </w:rPr>
      </w:pPr>
      <w:r>
        <w:rPr>
          <w:u w:val="thick"/>
        </w:rPr>
        <w:t>ACUERDOS ADOPTADOS POR LA CPAE</w:t>
      </w:r>
    </w:p>
    <w:p w14:paraId="4FF1C8EB" w14:textId="77777777" w:rsidR="00220CEE" w:rsidRDefault="00000000">
      <w:pPr>
        <w:pStyle w:val="Ttulo1"/>
        <w:kinsoku w:val="0"/>
        <w:overflowPunct w:val="0"/>
        <w:ind w:left="1569"/>
        <w:jc w:val="center"/>
        <w:rPr>
          <w:u w:val="thick"/>
        </w:rPr>
      </w:pPr>
      <w:r>
        <w:rPr>
          <w:u w:val="thick"/>
        </w:rPr>
        <w:t>DE APLICACIÓN PARA EL CURSO ACADÉMICO EN VIGOR</w:t>
      </w:r>
    </w:p>
    <w:p w14:paraId="09B5CE32" w14:textId="77777777" w:rsidR="00220CEE" w:rsidRDefault="00220CEE">
      <w:pPr>
        <w:rPr>
          <w:sz w:val="22"/>
          <w:szCs w:val="22"/>
        </w:rPr>
      </w:pPr>
    </w:p>
    <w:p w14:paraId="1EB3FA15" w14:textId="77777777" w:rsidR="00220CEE" w:rsidRDefault="00220CEE">
      <w:pPr>
        <w:pStyle w:val="Textoindependiente"/>
        <w:kinsoku w:val="0"/>
        <w:overflowPunct w:val="0"/>
        <w:spacing w:before="10"/>
        <w:rPr>
          <w:b/>
          <w:bCs/>
        </w:rPr>
      </w:pPr>
    </w:p>
    <w:p w14:paraId="798DA7A8" w14:textId="77777777" w:rsidR="00220CEE" w:rsidRDefault="00000000">
      <w:pPr>
        <w:pStyle w:val="Prrafodelista"/>
        <w:numPr>
          <w:ilvl w:val="0"/>
          <w:numId w:val="1"/>
        </w:numPr>
        <w:tabs>
          <w:tab w:val="left" w:pos="397"/>
        </w:tabs>
        <w:kinsoku w:val="0"/>
        <w:overflowPunct w:val="0"/>
        <w:spacing w:before="93"/>
        <w:ind w:right="0" w:hanging="1"/>
        <w:jc w:val="left"/>
        <w:rPr>
          <w:b/>
          <w:bCs/>
          <w:color w:val="000000"/>
          <w:sz w:val="22"/>
          <w:szCs w:val="22"/>
        </w:rPr>
      </w:pPr>
      <w:r>
        <w:rPr>
          <w:b/>
          <w:bCs/>
          <w:sz w:val="22"/>
          <w:szCs w:val="22"/>
        </w:rPr>
        <w:t xml:space="preserve">Requisitos académicos de los estudiantes </w:t>
      </w:r>
      <w:r>
        <w:rPr>
          <w:b/>
          <w:bCs/>
          <w:spacing w:val="-2"/>
          <w:sz w:val="22"/>
          <w:szCs w:val="22"/>
        </w:rPr>
        <w:t xml:space="preserve">UPM </w:t>
      </w:r>
      <w:r>
        <w:rPr>
          <w:b/>
          <w:bCs/>
          <w:sz w:val="22"/>
          <w:szCs w:val="22"/>
        </w:rPr>
        <w:t>para poder realizar Prácticas</w:t>
      </w:r>
      <w:r>
        <w:rPr>
          <w:b/>
          <w:bCs/>
          <w:spacing w:val="-28"/>
          <w:sz w:val="22"/>
          <w:szCs w:val="22"/>
        </w:rPr>
        <w:t xml:space="preserve"> </w:t>
      </w:r>
      <w:r>
        <w:rPr>
          <w:b/>
          <w:bCs/>
          <w:sz w:val="22"/>
          <w:szCs w:val="22"/>
        </w:rPr>
        <w:t>Externas.</w:t>
      </w:r>
    </w:p>
    <w:p w14:paraId="4A65C26E" w14:textId="77777777" w:rsidR="00220CEE" w:rsidRDefault="00220CEE">
      <w:pPr>
        <w:pStyle w:val="Textoindependiente"/>
        <w:kinsoku w:val="0"/>
        <w:overflowPunct w:val="0"/>
        <w:spacing w:before="11"/>
        <w:rPr>
          <w:b/>
          <w:bCs/>
        </w:rPr>
      </w:pPr>
    </w:p>
    <w:p w14:paraId="3CE0CD1A" w14:textId="77777777" w:rsidR="00220CEE" w:rsidRDefault="00000000">
      <w:pPr>
        <w:pStyle w:val="Prrafodelista"/>
        <w:numPr>
          <w:ilvl w:val="1"/>
          <w:numId w:val="1"/>
        </w:numPr>
        <w:tabs>
          <w:tab w:val="left" w:pos="833"/>
        </w:tabs>
        <w:kinsoku w:val="0"/>
        <w:overflowPunct w:val="0"/>
        <w:ind w:right="132" w:hanging="359"/>
        <w:rPr>
          <w:color w:val="000000" w:themeColor="text1"/>
          <w:sz w:val="22"/>
          <w:szCs w:val="22"/>
        </w:rPr>
      </w:pPr>
      <w:r>
        <w:rPr>
          <w:b/>
          <w:bCs/>
          <w:color w:val="000000" w:themeColor="text1"/>
          <w:sz w:val="22"/>
          <w:szCs w:val="22"/>
        </w:rPr>
        <w:t>Estudiantes de Grado:</w:t>
      </w:r>
      <w:r>
        <w:rPr>
          <w:bCs/>
          <w:color w:val="000000" w:themeColor="text1"/>
          <w:sz w:val="22"/>
          <w:szCs w:val="22"/>
        </w:rPr>
        <w:t xml:space="preserve"> T</w:t>
      </w:r>
      <w:r>
        <w:rPr>
          <w:color w:val="000000" w:themeColor="text1"/>
          <w:sz w:val="22"/>
          <w:szCs w:val="22"/>
        </w:rPr>
        <w:t>ener superados 120 ECTS en Grados de 240 ECTS, o 150 en Grados de 300</w:t>
      </w:r>
      <w:r>
        <w:rPr>
          <w:color w:val="000000" w:themeColor="text1"/>
          <w:spacing w:val="-23"/>
          <w:sz w:val="22"/>
          <w:szCs w:val="22"/>
        </w:rPr>
        <w:t xml:space="preserve"> </w:t>
      </w:r>
      <w:r>
        <w:rPr>
          <w:color w:val="000000" w:themeColor="text1"/>
          <w:sz w:val="22"/>
          <w:szCs w:val="22"/>
        </w:rPr>
        <w:t>ECTS.</w:t>
      </w:r>
    </w:p>
    <w:p w14:paraId="172941CE" w14:textId="77777777" w:rsidR="00220CEE" w:rsidRDefault="00000000">
      <w:pPr>
        <w:pStyle w:val="Textoindependiente"/>
        <w:kinsoku w:val="0"/>
        <w:overflowPunct w:val="0"/>
        <w:ind w:left="820" w:right="131"/>
        <w:jc w:val="both"/>
      </w:pPr>
      <w:r>
        <w:t xml:space="preserve">Con autorización del </w:t>
      </w:r>
      <w:proofErr w:type="gramStart"/>
      <w:r>
        <w:t>Responsable</w:t>
      </w:r>
      <w:proofErr w:type="gramEnd"/>
      <w:r>
        <w:t xml:space="preserve"> de Prácticas Externas del Centro, y de forma excepcional, estudiantes con al menos 110 o 140 ECTS superados en cada caso.</w:t>
      </w:r>
    </w:p>
    <w:p w14:paraId="24CE29C5" w14:textId="77777777" w:rsidR="00220CEE" w:rsidRDefault="00000000">
      <w:pPr>
        <w:pStyle w:val="Textoindependiente"/>
        <w:kinsoku w:val="0"/>
        <w:overflowPunct w:val="0"/>
        <w:ind w:left="820" w:right="131"/>
        <w:jc w:val="both"/>
      </w:pPr>
      <w:r>
        <w:t>En el caso de las prácticas curriculares, todos los estudiantes deberán cumplir los requisitos establecidos en el Plan de Estudios en el que estén matriculados.</w:t>
      </w:r>
    </w:p>
    <w:p w14:paraId="14252B4F" w14:textId="77777777" w:rsidR="00220CEE" w:rsidRDefault="00220CEE">
      <w:pPr>
        <w:pStyle w:val="Textoindependiente"/>
        <w:kinsoku w:val="0"/>
        <w:overflowPunct w:val="0"/>
        <w:ind w:left="820" w:right="131"/>
        <w:jc w:val="both"/>
      </w:pPr>
    </w:p>
    <w:p w14:paraId="70FB26C6" w14:textId="77777777" w:rsidR="00220CEE" w:rsidRDefault="00000000">
      <w:pPr>
        <w:pStyle w:val="Textoindependiente"/>
        <w:numPr>
          <w:ilvl w:val="1"/>
          <w:numId w:val="1"/>
        </w:numPr>
        <w:kinsoku w:val="0"/>
        <w:overflowPunct w:val="0"/>
        <w:spacing w:before="8"/>
        <w:rPr>
          <w:color w:val="000000" w:themeColor="text1"/>
        </w:rPr>
      </w:pPr>
      <w:r>
        <w:rPr>
          <w:b/>
          <w:color w:val="000000" w:themeColor="text1"/>
        </w:rPr>
        <w:t>Estudiantes de Doble Grado</w:t>
      </w:r>
      <w:r>
        <w:rPr>
          <w:color w:val="000000" w:themeColor="text1"/>
        </w:rPr>
        <w:t xml:space="preserve">: Tener superados 150 ECTS </w:t>
      </w:r>
      <w:proofErr w:type="gramStart"/>
      <w:r>
        <w:rPr>
          <w:color w:val="000000" w:themeColor="text1"/>
        </w:rPr>
        <w:t>totales  o</w:t>
      </w:r>
      <w:proofErr w:type="gramEnd"/>
      <w:r>
        <w:rPr>
          <w:color w:val="000000" w:themeColor="text1"/>
        </w:rPr>
        <w:t xml:space="preserve"> 120 ECTS en alguno de los Grados que conforman el Doble Grado.</w:t>
      </w:r>
    </w:p>
    <w:p w14:paraId="6E0B7928" w14:textId="77777777" w:rsidR="00220CEE" w:rsidRDefault="00220CEE">
      <w:pPr>
        <w:pStyle w:val="Textoindependiente"/>
        <w:kinsoku w:val="0"/>
        <w:overflowPunct w:val="0"/>
        <w:spacing w:before="8"/>
      </w:pPr>
    </w:p>
    <w:p w14:paraId="4933DDDB" w14:textId="77777777" w:rsidR="00220CEE" w:rsidRDefault="00000000">
      <w:pPr>
        <w:pStyle w:val="Prrafodelista"/>
        <w:numPr>
          <w:ilvl w:val="1"/>
          <w:numId w:val="1"/>
        </w:numPr>
        <w:tabs>
          <w:tab w:val="left" w:pos="833"/>
        </w:tabs>
        <w:kinsoku w:val="0"/>
        <w:overflowPunct w:val="0"/>
        <w:spacing w:line="244" w:lineRule="auto"/>
        <w:rPr>
          <w:color w:val="000000"/>
          <w:sz w:val="22"/>
          <w:szCs w:val="22"/>
        </w:rPr>
      </w:pPr>
      <w:r>
        <w:rPr>
          <w:b/>
          <w:bCs/>
          <w:sz w:val="22"/>
          <w:szCs w:val="22"/>
        </w:rPr>
        <w:t>Másteres, oficiales o no oficiales</w:t>
      </w:r>
      <w:r>
        <w:rPr>
          <w:sz w:val="22"/>
          <w:szCs w:val="22"/>
        </w:rPr>
        <w:t>: Podrán realizar prácticas externas desde el momento en que se haga efectiva su matriculación en la</w:t>
      </w:r>
      <w:r>
        <w:rPr>
          <w:spacing w:val="-30"/>
          <w:sz w:val="22"/>
          <w:szCs w:val="22"/>
        </w:rPr>
        <w:t xml:space="preserve"> </w:t>
      </w:r>
      <w:r>
        <w:rPr>
          <w:sz w:val="22"/>
          <w:szCs w:val="22"/>
        </w:rPr>
        <w:t>universidad.</w:t>
      </w:r>
    </w:p>
    <w:p w14:paraId="65D2EACE" w14:textId="77777777" w:rsidR="00220CEE" w:rsidRDefault="00220CEE">
      <w:pPr>
        <w:pStyle w:val="Textoindependiente"/>
        <w:kinsoku w:val="0"/>
        <w:overflowPunct w:val="0"/>
        <w:spacing w:before="4"/>
      </w:pPr>
    </w:p>
    <w:p w14:paraId="6786CF47" w14:textId="77777777" w:rsidR="00220CEE" w:rsidRDefault="00000000">
      <w:pPr>
        <w:pStyle w:val="Prrafodelista"/>
        <w:numPr>
          <w:ilvl w:val="1"/>
          <w:numId w:val="1"/>
        </w:numPr>
        <w:tabs>
          <w:tab w:val="left" w:pos="833"/>
        </w:tabs>
        <w:kinsoku w:val="0"/>
        <w:overflowPunct w:val="0"/>
        <w:ind w:right="133"/>
        <w:rPr>
          <w:color w:val="000000"/>
          <w:spacing w:val="-3"/>
          <w:sz w:val="22"/>
          <w:szCs w:val="22"/>
        </w:rPr>
      </w:pPr>
      <w:r>
        <w:rPr>
          <w:b/>
          <w:bCs/>
          <w:sz w:val="22"/>
          <w:szCs w:val="22"/>
        </w:rPr>
        <w:t xml:space="preserve">Extensión del Plan de Estudios. </w:t>
      </w:r>
      <w:r>
        <w:rPr>
          <w:sz w:val="22"/>
          <w:szCs w:val="22"/>
        </w:rPr>
        <w:t xml:space="preserve">Sólo podrán realizar prácticas externas extracurriculares los estudiantes matriculados en titulaciones cuyos planes de estudios tengan una carga lectiva igual o superior a los 30 </w:t>
      </w:r>
      <w:r>
        <w:rPr>
          <w:spacing w:val="-3"/>
          <w:sz w:val="22"/>
          <w:szCs w:val="22"/>
        </w:rPr>
        <w:t>ECTS.</w:t>
      </w:r>
    </w:p>
    <w:p w14:paraId="39CACCF5" w14:textId="77777777" w:rsidR="00220CEE" w:rsidRDefault="00220CEE">
      <w:pPr>
        <w:pStyle w:val="Textoindependiente"/>
        <w:kinsoku w:val="0"/>
        <w:overflowPunct w:val="0"/>
        <w:spacing w:before="6"/>
      </w:pPr>
    </w:p>
    <w:p w14:paraId="342597A4" w14:textId="77777777" w:rsidR="00220CEE" w:rsidRDefault="00000000">
      <w:pPr>
        <w:pStyle w:val="Prrafodelista"/>
        <w:numPr>
          <w:ilvl w:val="1"/>
          <w:numId w:val="1"/>
        </w:numPr>
        <w:tabs>
          <w:tab w:val="left" w:pos="833"/>
        </w:tabs>
        <w:kinsoku w:val="0"/>
        <w:overflowPunct w:val="0"/>
        <w:spacing w:line="242" w:lineRule="auto"/>
        <w:ind w:right="131"/>
        <w:rPr>
          <w:color w:val="000000"/>
          <w:sz w:val="22"/>
          <w:szCs w:val="22"/>
        </w:rPr>
      </w:pPr>
      <w:r>
        <w:rPr>
          <w:b/>
          <w:bCs/>
          <w:sz w:val="22"/>
          <w:szCs w:val="22"/>
        </w:rPr>
        <w:t xml:space="preserve">Doctorado. </w:t>
      </w:r>
      <w:r>
        <w:rPr>
          <w:sz w:val="22"/>
          <w:szCs w:val="22"/>
        </w:rPr>
        <w:t>El concepto de Prácticas Académicas Externas aplica a los estudiantes de doctorado y se llevará a efecto su tramitación según lo establecido en el procedimiento para Prácticas de estudiantes de</w:t>
      </w:r>
      <w:r>
        <w:rPr>
          <w:spacing w:val="-18"/>
          <w:sz w:val="22"/>
          <w:szCs w:val="22"/>
        </w:rPr>
        <w:t xml:space="preserve"> </w:t>
      </w:r>
      <w:r>
        <w:rPr>
          <w:sz w:val="22"/>
          <w:szCs w:val="22"/>
        </w:rPr>
        <w:t>Doctorado.</w:t>
      </w:r>
    </w:p>
    <w:p w14:paraId="213730BE" w14:textId="77777777" w:rsidR="00220CEE" w:rsidRDefault="00220CEE">
      <w:pPr>
        <w:pStyle w:val="Prrafodelista"/>
        <w:rPr>
          <w:color w:val="000000"/>
          <w:sz w:val="22"/>
          <w:szCs w:val="22"/>
        </w:rPr>
      </w:pPr>
    </w:p>
    <w:p w14:paraId="5D55AB69" w14:textId="77777777" w:rsidR="00220CEE" w:rsidRDefault="00000000">
      <w:pPr>
        <w:pStyle w:val="Prrafodelista"/>
        <w:numPr>
          <w:ilvl w:val="1"/>
          <w:numId w:val="1"/>
        </w:numPr>
        <w:tabs>
          <w:tab w:val="left" w:pos="833"/>
        </w:tabs>
        <w:kinsoku w:val="0"/>
        <w:overflowPunct w:val="0"/>
        <w:spacing w:line="242" w:lineRule="auto"/>
        <w:ind w:right="131"/>
        <w:rPr>
          <w:sz w:val="22"/>
          <w:szCs w:val="22"/>
        </w:rPr>
      </w:pPr>
      <w:r>
        <w:rPr>
          <w:b/>
          <w:color w:val="000000"/>
          <w:sz w:val="22"/>
          <w:szCs w:val="22"/>
        </w:rPr>
        <w:t xml:space="preserve">Estudiantes visitantes: </w:t>
      </w:r>
      <w:r>
        <w:rPr>
          <w:sz w:val="22"/>
          <w:szCs w:val="22"/>
        </w:rPr>
        <w:t>En ningún caso los estudiantes visitantes de la UPM podrán realizar prácticas académicas externas.</w:t>
      </w:r>
    </w:p>
    <w:p w14:paraId="3A9DB270" w14:textId="77777777" w:rsidR="00220CEE" w:rsidRDefault="00220CEE">
      <w:pPr>
        <w:pStyle w:val="Prrafodelista"/>
        <w:rPr>
          <w:sz w:val="22"/>
          <w:szCs w:val="22"/>
        </w:rPr>
      </w:pPr>
    </w:p>
    <w:p w14:paraId="4ED33D9D" w14:textId="77777777" w:rsidR="00220CEE" w:rsidRDefault="00000000">
      <w:pPr>
        <w:pStyle w:val="Prrafodelista"/>
        <w:numPr>
          <w:ilvl w:val="1"/>
          <w:numId w:val="1"/>
        </w:numPr>
        <w:tabs>
          <w:tab w:val="left" w:pos="833"/>
        </w:tabs>
        <w:kinsoku w:val="0"/>
        <w:overflowPunct w:val="0"/>
        <w:spacing w:line="242" w:lineRule="auto"/>
        <w:ind w:right="131"/>
        <w:rPr>
          <w:sz w:val="22"/>
          <w:szCs w:val="22"/>
        </w:rPr>
      </w:pPr>
      <w:r>
        <w:rPr>
          <w:sz w:val="22"/>
          <w:szCs w:val="22"/>
        </w:rPr>
        <w:t xml:space="preserve">Los </w:t>
      </w:r>
      <w:r>
        <w:rPr>
          <w:b/>
          <w:sz w:val="22"/>
          <w:szCs w:val="22"/>
        </w:rPr>
        <w:t>estudiantes egresados</w:t>
      </w:r>
      <w:r>
        <w:rPr>
          <w:sz w:val="22"/>
          <w:szCs w:val="22"/>
        </w:rPr>
        <w:t xml:space="preserve"> no podrán realizar prácticas académicas externas a partir del último día del mes en que cumplan los requisitos académicos para proceder a la solicitud del título.</w:t>
      </w:r>
    </w:p>
    <w:p w14:paraId="18EFA274" w14:textId="77777777" w:rsidR="00220CEE" w:rsidRDefault="00220CEE">
      <w:pPr>
        <w:pStyle w:val="Prrafodelista"/>
        <w:rPr>
          <w:color w:val="000000"/>
          <w:sz w:val="22"/>
          <w:szCs w:val="22"/>
        </w:rPr>
      </w:pPr>
    </w:p>
    <w:p w14:paraId="3C37FDA1" w14:textId="77777777" w:rsidR="00220CEE" w:rsidRDefault="00220CEE">
      <w:pPr>
        <w:pStyle w:val="Prrafodelista"/>
        <w:tabs>
          <w:tab w:val="left" w:pos="833"/>
        </w:tabs>
        <w:kinsoku w:val="0"/>
        <w:overflowPunct w:val="0"/>
        <w:spacing w:line="242" w:lineRule="auto"/>
        <w:ind w:right="131" w:firstLine="0"/>
        <w:rPr>
          <w:color w:val="000000"/>
          <w:sz w:val="22"/>
          <w:szCs w:val="22"/>
        </w:rPr>
      </w:pPr>
    </w:p>
    <w:p w14:paraId="4B09D9E3" w14:textId="77777777" w:rsidR="00220CEE" w:rsidRDefault="00220CEE">
      <w:pPr>
        <w:pStyle w:val="Prrafodelista"/>
        <w:tabs>
          <w:tab w:val="left" w:pos="833"/>
        </w:tabs>
        <w:kinsoku w:val="0"/>
        <w:overflowPunct w:val="0"/>
        <w:spacing w:line="242" w:lineRule="auto"/>
        <w:ind w:right="131" w:firstLine="0"/>
        <w:rPr>
          <w:color w:val="000000"/>
          <w:sz w:val="22"/>
          <w:szCs w:val="22"/>
        </w:rPr>
      </w:pPr>
    </w:p>
    <w:p w14:paraId="53F8AF7B" w14:textId="77777777" w:rsidR="00220CEE" w:rsidRDefault="00000000">
      <w:pPr>
        <w:pStyle w:val="Ttulo1"/>
        <w:numPr>
          <w:ilvl w:val="0"/>
          <w:numId w:val="1"/>
        </w:numPr>
        <w:tabs>
          <w:tab w:val="left" w:pos="430"/>
        </w:tabs>
        <w:kinsoku w:val="0"/>
        <w:overflowPunct w:val="0"/>
        <w:ind w:right="130"/>
        <w:jc w:val="both"/>
      </w:pPr>
      <w:r>
        <w:t>Límites de dedicación horaria semanal para el desarrollo de prácticas académicas externas</w:t>
      </w:r>
      <w:r>
        <w:rPr>
          <w:spacing w:val="-13"/>
        </w:rPr>
        <w:t xml:space="preserve"> curriculares y </w:t>
      </w:r>
      <w:r>
        <w:t>extracurriculares.</w:t>
      </w:r>
    </w:p>
    <w:p w14:paraId="0670EF9B" w14:textId="77777777" w:rsidR="00220CEE" w:rsidRDefault="00220CEE">
      <w:pPr>
        <w:rPr>
          <w:sz w:val="22"/>
          <w:szCs w:val="22"/>
        </w:rPr>
      </w:pPr>
    </w:p>
    <w:p w14:paraId="35A4D2B1" w14:textId="77777777" w:rsidR="00220CEE" w:rsidRDefault="00000000">
      <w:pPr>
        <w:ind w:left="113" w:firstLine="607"/>
        <w:jc w:val="both"/>
        <w:rPr>
          <w:sz w:val="22"/>
          <w:szCs w:val="22"/>
        </w:rPr>
      </w:pPr>
      <w:r>
        <w:rPr>
          <w:sz w:val="22"/>
          <w:szCs w:val="22"/>
        </w:rPr>
        <w:t xml:space="preserve">Con carácter general las </w:t>
      </w:r>
      <w:r>
        <w:rPr>
          <w:b/>
          <w:sz w:val="22"/>
          <w:szCs w:val="22"/>
        </w:rPr>
        <w:t>prácticas curriculares</w:t>
      </w:r>
      <w:r>
        <w:rPr>
          <w:sz w:val="22"/>
          <w:szCs w:val="22"/>
        </w:rPr>
        <w:t xml:space="preserve"> tendrán una dedicación de 25 horas semanales</w:t>
      </w:r>
      <w:r>
        <w:rPr>
          <w:color w:val="FF0000"/>
          <w:sz w:val="22"/>
          <w:szCs w:val="22"/>
        </w:rPr>
        <w:t xml:space="preserve">. </w:t>
      </w:r>
      <w:r>
        <w:rPr>
          <w:sz w:val="22"/>
          <w:szCs w:val="22"/>
        </w:rPr>
        <w:t>En el caso de prácticas curriculares, y debido a que son actividades integradas en los planes de estudios, el coordinador de prácticas del Centro, en aplicación de estos límites de dedicación, podrá aplicar pautas concretas (por ejemplo, estudiantes de Grado realizando prácticas curriculares con dedicación exclusiva correspondiente con el Plan de Estudios y/o residencia temporal fuera de la Comunidad de Madrid).</w:t>
      </w:r>
    </w:p>
    <w:p w14:paraId="0F33B1C9" w14:textId="77777777" w:rsidR="00220CEE" w:rsidRDefault="00220CEE">
      <w:pPr>
        <w:ind w:left="113" w:firstLine="607"/>
        <w:jc w:val="both"/>
        <w:rPr>
          <w:sz w:val="22"/>
          <w:szCs w:val="22"/>
        </w:rPr>
      </w:pPr>
    </w:p>
    <w:p w14:paraId="4D382B8F" w14:textId="77777777" w:rsidR="00220CEE" w:rsidRDefault="00000000">
      <w:pPr>
        <w:ind w:left="113" w:firstLine="607"/>
        <w:jc w:val="both"/>
        <w:rPr>
          <w:sz w:val="22"/>
          <w:szCs w:val="22"/>
        </w:rPr>
      </w:pPr>
      <w:r>
        <w:rPr>
          <w:sz w:val="22"/>
          <w:szCs w:val="22"/>
        </w:rPr>
        <w:t>En ningún caso el número de horas totales de prácticas curriculares podrá ser superior al que corresponda a los créditos matriculados por el estudiante.</w:t>
      </w:r>
    </w:p>
    <w:p w14:paraId="7EEBE7FC" w14:textId="77777777" w:rsidR="00220CEE" w:rsidRDefault="00000000">
      <w:pPr>
        <w:widowControl/>
        <w:autoSpaceDE/>
        <w:autoSpaceDN/>
        <w:adjustRightInd/>
        <w:spacing w:after="160" w:line="259" w:lineRule="auto"/>
        <w:rPr>
          <w:sz w:val="22"/>
          <w:szCs w:val="22"/>
        </w:rPr>
      </w:pPr>
      <w:r>
        <w:rPr>
          <w:sz w:val="22"/>
          <w:szCs w:val="22"/>
        </w:rPr>
        <w:br w:type="page"/>
      </w:r>
    </w:p>
    <w:p w14:paraId="3B2FA2FC" w14:textId="77777777" w:rsidR="00220CEE" w:rsidRDefault="00220CEE">
      <w:pPr>
        <w:ind w:left="113" w:firstLine="607"/>
        <w:jc w:val="both"/>
        <w:rPr>
          <w:sz w:val="22"/>
          <w:szCs w:val="22"/>
        </w:rPr>
      </w:pPr>
    </w:p>
    <w:p w14:paraId="2D8C81E1" w14:textId="77777777" w:rsidR="00220CEE" w:rsidRDefault="00000000">
      <w:pPr>
        <w:ind w:left="113" w:firstLine="607"/>
        <w:jc w:val="both"/>
        <w:rPr>
          <w:sz w:val="22"/>
          <w:szCs w:val="22"/>
        </w:rPr>
      </w:pPr>
      <w:r>
        <w:rPr>
          <w:sz w:val="22"/>
          <w:szCs w:val="22"/>
        </w:rPr>
        <w:t xml:space="preserve">En el caso de </w:t>
      </w:r>
      <w:r>
        <w:rPr>
          <w:b/>
          <w:sz w:val="22"/>
          <w:szCs w:val="22"/>
        </w:rPr>
        <w:t>prácticas extracurriculares</w:t>
      </w:r>
      <w:r>
        <w:rPr>
          <w:sz w:val="22"/>
          <w:szCs w:val="22"/>
        </w:rPr>
        <w:t>:</w:t>
      </w:r>
    </w:p>
    <w:p w14:paraId="025F5089" w14:textId="77777777" w:rsidR="00220CEE" w:rsidRDefault="00220CEE">
      <w:pPr>
        <w:pStyle w:val="Textoindependiente"/>
        <w:kinsoku w:val="0"/>
        <w:overflowPunct w:val="0"/>
        <w:spacing w:before="3" w:after="1"/>
      </w:pPr>
    </w:p>
    <w:tbl>
      <w:tblPr>
        <w:tblW w:w="9781" w:type="dxa"/>
        <w:tblInd w:w="137" w:type="dxa"/>
        <w:tblLayout w:type="fixed"/>
        <w:tblCellMar>
          <w:left w:w="0" w:type="dxa"/>
          <w:right w:w="0" w:type="dxa"/>
        </w:tblCellMar>
        <w:tblLook w:val="04A0" w:firstRow="1" w:lastRow="0" w:firstColumn="1" w:lastColumn="0" w:noHBand="0" w:noVBand="1"/>
      </w:tblPr>
      <w:tblGrid>
        <w:gridCol w:w="9781"/>
      </w:tblGrid>
      <w:tr w:rsidR="00220CEE" w14:paraId="4F85C4EC" w14:textId="77777777">
        <w:trPr>
          <w:trHeight w:val="400"/>
        </w:trPr>
        <w:tc>
          <w:tcPr>
            <w:tcW w:w="9781" w:type="dxa"/>
            <w:tcBorders>
              <w:top w:val="single" w:sz="4" w:space="0" w:color="000000"/>
              <w:left w:val="single" w:sz="4" w:space="0" w:color="000000"/>
              <w:bottom w:val="single" w:sz="4" w:space="0" w:color="000000"/>
              <w:right w:val="single" w:sz="4" w:space="0" w:color="000000"/>
            </w:tcBorders>
          </w:tcPr>
          <w:p w14:paraId="1DA1494D" w14:textId="77777777" w:rsidR="00220CEE" w:rsidRDefault="00000000">
            <w:pPr>
              <w:pStyle w:val="TableParagraph"/>
              <w:kinsoku w:val="0"/>
              <w:overflowPunct w:val="0"/>
              <w:spacing w:before="72"/>
              <w:jc w:val="center"/>
              <w:rPr>
                <w:b/>
                <w:bCs/>
                <w:sz w:val="22"/>
                <w:szCs w:val="22"/>
              </w:rPr>
            </w:pPr>
            <w:r>
              <w:rPr>
                <w:b/>
                <w:bCs/>
                <w:sz w:val="22"/>
                <w:szCs w:val="22"/>
              </w:rPr>
              <w:t>MAXIMO 25 HORAS/SEMANA</w:t>
            </w:r>
          </w:p>
        </w:tc>
      </w:tr>
      <w:tr w:rsidR="00220CEE" w14:paraId="13BC3EDC" w14:textId="77777777">
        <w:trPr>
          <w:trHeight w:val="400"/>
        </w:trPr>
        <w:tc>
          <w:tcPr>
            <w:tcW w:w="9781" w:type="dxa"/>
            <w:tcBorders>
              <w:top w:val="single" w:sz="4" w:space="0" w:color="000000"/>
              <w:left w:val="single" w:sz="4" w:space="0" w:color="000000"/>
              <w:bottom w:val="single" w:sz="4" w:space="0" w:color="000000"/>
              <w:right w:val="single" w:sz="4" w:space="0" w:color="000000"/>
            </w:tcBorders>
          </w:tcPr>
          <w:p w14:paraId="59E07A2F" w14:textId="77777777" w:rsidR="00220CEE" w:rsidRDefault="00000000">
            <w:pPr>
              <w:pStyle w:val="TableParagraph"/>
              <w:kinsoku w:val="0"/>
              <w:overflowPunct w:val="0"/>
              <w:spacing w:before="72"/>
              <w:rPr>
                <w:bCs/>
                <w:sz w:val="22"/>
                <w:szCs w:val="22"/>
              </w:rPr>
            </w:pPr>
            <w:r>
              <w:rPr>
                <w:bCs/>
                <w:sz w:val="22"/>
                <w:szCs w:val="22"/>
              </w:rPr>
              <w:t>Estudiantes de Grado.</w:t>
            </w:r>
          </w:p>
        </w:tc>
      </w:tr>
    </w:tbl>
    <w:p w14:paraId="37C432F9" w14:textId="77777777" w:rsidR="00220CEE" w:rsidRDefault="00220CEE">
      <w:pPr>
        <w:rPr>
          <w:sz w:val="22"/>
          <w:szCs w:val="22"/>
        </w:rPr>
      </w:pPr>
    </w:p>
    <w:p w14:paraId="7CE44502" w14:textId="77777777" w:rsidR="00220CEE" w:rsidRDefault="00220CEE">
      <w:pPr>
        <w:rPr>
          <w:sz w:val="22"/>
          <w:szCs w:val="22"/>
        </w:rPr>
      </w:pPr>
    </w:p>
    <w:tbl>
      <w:tblPr>
        <w:tblStyle w:val="Tablaconcuadrcula"/>
        <w:tblW w:w="9918" w:type="dxa"/>
        <w:tblLook w:val="04A0" w:firstRow="1" w:lastRow="0" w:firstColumn="1" w:lastColumn="0" w:noHBand="0" w:noVBand="1"/>
      </w:tblPr>
      <w:tblGrid>
        <w:gridCol w:w="9918"/>
      </w:tblGrid>
      <w:tr w:rsidR="00220CEE" w14:paraId="77EE76FF" w14:textId="77777777">
        <w:tc>
          <w:tcPr>
            <w:tcW w:w="9918" w:type="dxa"/>
          </w:tcPr>
          <w:p w14:paraId="5C3853AA" w14:textId="77777777" w:rsidR="00220CEE" w:rsidRDefault="00000000">
            <w:pPr>
              <w:spacing w:before="40" w:after="40"/>
              <w:jc w:val="center"/>
              <w:rPr>
                <w:sz w:val="22"/>
                <w:szCs w:val="22"/>
              </w:rPr>
            </w:pPr>
            <w:r>
              <w:rPr>
                <w:b/>
                <w:bCs/>
                <w:sz w:val="22"/>
                <w:szCs w:val="22"/>
              </w:rPr>
              <w:t>MAXIMO 35 HORAS/SEMANA</w:t>
            </w:r>
          </w:p>
        </w:tc>
      </w:tr>
      <w:tr w:rsidR="00220CEE" w14:paraId="5888E966" w14:textId="77777777">
        <w:tc>
          <w:tcPr>
            <w:tcW w:w="9918" w:type="dxa"/>
          </w:tcPr>
          <w:p w14:paraId="12581777" w14:textId="77777777" w:rsidR="00220CEE" w:rsidRDefault="00000000">
            <w:pPr>
              <w:spacing w:before="120" w:after="120"/>
              <w:rPr>
                <w:sz w:val="22"/>
                <w:szCs w:val="22"/>
              </w:rPr>
            </w:pPr>
            <w:r>
              <w:rPr>
                <w:color w:val="000000" w:themeColor="text1"/>
                <w:sz w:val="22"/>
                <w:szCs w:val="22"/>
              </w:rPr>
              <w:t>Estudiantes de Grado solo con TFG, o con TFG más hasta 12 ECTS pendientes contabilizando los créditos de prácticas académicas curriculares, siempre</w:t>
            </w:r>
            <w:r>
              <w:rPr>
                <w:i/>
                <w:color w:val="000000" w:themeColor="text1"/>
                <w:sz w:val="22"/>
                <w:szCs w:val="22"/>
              </w:rPr>
              <w:t xml:space="preserve"> </w:t>
            </w:r>
            <w:r>
              <w:rPr>
                <w:color w:val="000000" w:themeColor="text1"/>
                <w:sz w:val="22"/>
                <w:szCs w:val="22"/>
              </w:rPr>
              <w:t>que estén matriculados de todos los ECTS que les queden para finalizar la titulación.</w:t>
            </w:r>
          </w:p>
        </w:tc>
      </w:tr>
      <w:tr w:rsidR="00220CEE" w14:paraId="135E66AE" w14:textId="77777777">
        <w:tc>
          <w:tcPr>
            <w:tcW w:w="9918" w:type="dxa"/>
          </w:tcPr>
          <w:p w14:paraId="176EDE9A" w14:textId="77777777" w:rsidR="00220CEE" w:rsidRDefault="00000000">
            <w:pPr>
              <w:spacing w:before="120" w:after="120"/>
              <w:jc w:val="both"/>
              <w:rPr>
                <w:sz w:val="22"/>
                <w:szCs w:val="22"/>
              </w:rPr>
            </w:pPr>
            <w:r>
              <w:rPr>
                <w:color w:val="000000" w:themeColor="text1"/>
                <w:sz w:val="22"/>
                <w:szCs w:val="22"/>
              </w:rPr>
              <w:t>Estudiantes de Doble Grado que cumplan con el requisito anterior, al menos, en una de las titulaciones que conforman el doble grado.</w:t>
            </w:r>
          </w:p>
        </w:tc>
      </w:tr>
      <w:tr w:rsidR="00220CEE" w14:paraId="3C93F883" w14:textId="77777777">
        <w:tc>
          <w:tcPr>
            <w:tcW w:w="9918" w:type="dxa"/>
          </w:tcPr>
          <w:p w14:paraId="2795E58C" w14:textId="77777777" w:rsidR="00220CEE" w:rsidRDefault="00000000">
            <w:pPr>
              <w:spacing w:before="120" w:after="120"/>
              <w:rPr>
                <w:sz w:val="22"/>
                <w:szCs w:val="22"/>
              </w:rPr>
            </w:pPr>
            <w:r>
              <w:rPr>
                <w:sz w:val="22"/>
                <w:szCs w:val="22"/>
              </w:rPr>
              <w:t xml:space="preserve">Estudiantes de Máster y equivalentes </w:t>
            </w:r>
          </w:p>
        </w:tc>
      </w:tr>
      <w:tr w:rsidR="00220CEE" w14:paraId="1D6660AA" w14:textId="77777777">
        <w:tc>
          <w:tcPr>
            <w:tcW w:w="9918" w:type="dxa"/>
          </w:tcPr>
          <w:p w14:paraId="13B18C77" w14:textId="77777777" w:rsidR="00220CEE" w:rsidRDefault="00000000">
            <w:pPr>
              <w:spacing w:before="120" w:after="120"/>
              <w:rPr>
                <w:sz w:val="22"/>
                <w:szCs w:val="22"/>
              </w:rPr>
            </w:pPr>
            <w:r>
              <w:rPr>
                <w:sz w:val="22"/>
                <w:szCs w:val="22"/>
              </w:rPr>
              <w:t>Estudiantes de Grado y Máster desde mediados de junio, julio y agosto.</w:t>
            </w:r>
          </w:p>
        </w:tc>
      </w:tr>
    </w:tbl>
    <w:p w14:paraId="7B970C68" w14:textId="77777777" w:rsidR="00220CEE" w:rsidRDefault="00220CEE">
      <w:pPr>
        <w:rPr>
          <w:sz w:val="22"/>
          <w:szCs w:val="22"/>
        </w:rPr>
      </w:pPr>
    </w:p>
    <w:p w14:paraId="6CC3E9E4" w14:textId="77777777" w:rsidR="00220CEE" w:rsidRDefault="00220CEE">
      <w:pPr>
        <w:rPr>
          <w:sz w:val="22"/>
          <w:szCs w:val="22"/>
        </w:rPr>
      </w:pPr>
    </w:p>
    <w:tbl>
      <w:tblPr>
        <w:tblStyle w:val="Tablaconcuadrcula"/>
        <w:tblW w:w="0" w:type="auto"/>
        <w:tblLook w:val="04A0" w:firstRow="1" w:lastRow="0" w:firstColumn="1" w:lastColumn="0" w:noHBand="0" w:noVBand="1"/>
      </w:tblPr>
      <w:tblGrid>
        <w:gridCol w:w="9830"/>
      </w:tblGrid>
      <w:tr w:rsidR="00220CEE" w14:paraId="56A6CB7C" w14:textId="77777777">
        <w:tc>
          <w:tcPr>
            <w:tcW w:w="9870" w:type="dxa"/>
          </w:tcPr>
          <w:p w14:paraId="32F0B043" w14:textId="77777777" w:rsidR="00220CEE" w:rsidRDefault="00000000">
            <w:pPr>
              <w:spacing w:before="40" w:after="40"/>
              <w:jc w:val="center"/>
              <w:rPr>
                <w:sz w:val="22"/>
                <w:szCs w:val="22"/>
              </w:rPr>
            </w:pPr>
            <w:r>
              <w:rPr>
                <w:b/>
                <w:bCs/>
                <w:sz w:val="22"/>
                <w:szCs w:val="22"/>
              </w:rPr>
              <w:t>MAXIMO 30 HORAS/SEMANA</w:t>
            </w:r>
          </w:p>
        </w:tc>
      </w:tr>
      <w:tr w:rsidR="00220CEE" w14:paraId="6888F8FA" w14:textId="77777777">
        <w:tc>
          <w:tcPr>
            <w:tcW w:w="9870" w:type="dxa"/>
          </w:tcPr>
          <w:p w14:paraId="57D94962" w14:textId="77777777" w:rsidR="00220CEE" w:rsidRDefault="00000000">
            <w:pPr>
              <w:spacing w:before="120" w:after="120"/>
              <w:rPr>
                <w:sz w:val="22"/>
                <w:szCs w:val="22"/>
              </w:rPr>
            </w:pPr>
            <w:r>
              <w:rPr>
                <w:sz w:val="22"/>
                <w:szCs w:val="22"/>
              </w:rPr>
              <w:t>Estudiantes extracomunitarios (siempre que cumplan los requisitos académicos)</w:t>
            </w:r>
          </w:p>
          <w:p w14:paraId="45E11FAD" w14:textId="77777777" w:rsidR="00220CEE" w:rsidRDefault="00000000">
            <w:pPr>
              <w:spacing w:before="120" w:after="120"/>
              <w:rPr>
                <w:i/>
                <w:sz w:val="22"/>
                <w:szCs w:val="22"/>
              </w:rPr>
            </w:pPr>
            <w:r>
              <w:rPr>
                <w:sz w:val="22"/>
                <w:szCs w:val="22"/>
              </w:rPr>
              <w:t>(modificación de 20 a 30 horas establecido por el artículo 42 del Real Decreto 557/2011).</w:t>
            </w:r>
          </w:p>
        </w:tc>
      </w:tr>
    </w:tbl>
    <w:p w14:paraId="69C47372" w14:textId="77777777" w:rsidR="00220CEE" w:rsidRDefault="00220CEE">
      <w:pPr>
        <w:tabs>
          <w:tab w:val="left" w:pos="4245"/>
        </w:tabs>
        <w:rPr>
          <w:sz w:val="22"/>
          <w:szCs w:val="22"/>
        </w:rPr>
      </w:pPr>
    </w:p>
    <w:p w14:paraId="308DDA72" w14:textId="77777777" w:rsidR="00220CEE" w:rsidRDefault="00220CEE">
      <w:pPr>
        <w:tabs>
          <w:tab w:val="left" w:pos="4245"/>
        </w:tabs>
        <w:rPr>
          <w:sz w:val="22"/>
          <w:szCs w:val="22"/>
        </w:rPr>
      </w:pPr>
    </w:p>
    <w:p w14:paraId="4D020ED2" w14:textId="77777777" w:rsidR="00220CEE" w:rsidRDefault="00000000">
      <w:pPr>
        <w:pStyle w:val="Ttulo1"/>
        <w:kinsoku w:val="0"/>
        <w:overflowPunct w:val="0"/>
        <w:spacing w:before="1"/>
        <w:ind w:left="112"/>
      </w:pPr>
      <w:r>
        <w:t>3.- Límites de dedicación temporal para el desarrollo de prácticas académicas externas.</w:t>
      </w:r>
    </w:p>
    <w:p w14:paraId="62FF6C19" w14:textId="77777777" w:rsidR="00220CEE" w:rsidRDefault="00220CEE">
      <w:pPr>
        <w:pStyle w:val="Textoindependiente"/>
        <w:kinsoku w:val="0"/>
        <w:overflowPunct w:val="0"/>
        <w:spacing w:before="2"/>
        <w:rPr>
          <w:b/>
          <w:bCs/>
        </w:rPr>
      </w:pPr>
    </w:p>
    <w:p w14:paraId="7BE2E4CD" w14:textId="77777777" w:rsidR="00220CEE" w:rsidRDefault="00000000">
      <w:pPr>
        <w:pStyle w:val="Prrafodelista"/>
        <w:numPr>
          <w:ilvl w:val="1"/>
          <w:numId w:val="1"/>
        </w:numPr>
        <w:tabs>
          <w:tab w:val="left" w:pos="833"/>
        </w:tabs>
        <w:kinsoku w:val="0"/>
        <w:overflowPunct w:val="0"/>
        <w:spacing w:before="1"/>
        <w:ind w:right="133"/>
        <w:rPr>
          <w:sz w:val="22"/>
          <w:szCs w:val="22"/>
        </w:rPr>
      </w:pPr>
      <w:r>
        <w:rPr>
          <w:sz w:val="22"/>
          <w:szCs w:val="22"/>
        </w:rPr>
        <w:t>La dedicación anual de prácticas externas tendrá duración no superior al 50% de los créditos, según Plan de Estudios del curso académico que se encuentre cursando el estudiante. Concretamente, no se podrán superar las 900 horas en Planes de 60 ECTS anuales o superior, ni 450 horas en Planes de 30 ECTS.</w:t>
      </w:r>
    </w:p>
    <w:p w14:paraId="4A7097FD" w14:textId="77777777" w:rsidR="00220CEE" w:rsidRDefault="00000000">
      <w:pPr>
        <w:pStyle w:val="Prrafodelista"/>
        <w:tabs>
          <w:tab w:val="left" w:pos="833"/>
        </w:tabs>
        <w:kinsoku w:val="0"/>
        <w:overflowPunct w:val="0"/>
        <w:spacing w:before="1"/>
        <w:ind w:right="133" w:firstLine="0"/>
        <w:rPr>
          <w:color w:val="000000"/>
          <w:sz w:val="22"/>
          <w:szCs w:val="22"/>
        </w:rPr>
      </w:pPr>
      <w:r>
        <w:rPr>
          <w:color w:val="000000"/>
          <w:sz w:val="22"/>
          <w:szCs w:val="22"/>
        </w:rPr>
        <w:t xml:space="preserve"> </w:t>
      </w:r>
    </w:p>
    <w:p w14:paraId="5C83A724" w14:textId="77777777" w:rsidR="00220CEE" w:rsidRDefault="00000000">
      <w:pPr>
        <w:pStyle w:val="Prrafodelista"/>
        <w:numPr>
          <w:ilvl w:val="1"/>
          <w:numId w:val="1"/>
        </w:numPr>
        <w:tabs>
          <w:tab w:val="left" w:pos="833"/>
        </w:tabs>
        <w:kinsoku w:val="0"/>
        <w:overflowPunct w:val="0"/>
        <w:spacing w:before="1"/>
        <w:ind w:right="133"/>
        <w:rPr>
          <w:color w:val="000000"/>
          <w:sz w:val="22"/>
          <w:szCs w:val="22"/>
        </w:rPr>
      </w:pPr>
      <w:r>
        <w:rPr>
          <w:sz w:val="22"/>
          <w:szCs w:val="22"/>
        </w:rPr>
        <w:t>El límite de 450 horas o 900 horas anuales de Prácticas Externas que se pueden realizar durante un curso académico incluye tanto las prácticas curriculares como</w:t>
      </w:r>
      <w:r>
        <w:rPr>
          <w:spacing w:val="-44"/>
          <w:sz w:val="22"/>
          <w:szCs w:val="22"/>
        </w:rPr>
        <w:t xml:space="preserve"> </w:t>
      </w:r>
      <w:r>
        <w:rPr>
          <w:sz w:val="22"/>
          <w:szCs w:val="22"/>
        </w:rPr>
        <w:t>las extracurriculares.</w:t>
      </w:r>
    </w:p>
    <w:p w14:paraId="41AFEEF0" w14:textId="77777777" w:rsidR="00220CEE" w:rsidRDefault="00220CEE">
      <w:pPr>
        <w:pStyle w:val="Textoindependiente"/>
        <w:kinsoku w:val="0"/>
        <w:overflowPunct w:val="0"/>
        <w:spacing w:before="9"/>
      </w:pPr>
    </w:p>
    <w:p w14:paraId="156E4562" w14:textId="77777777" w:rsidR="00220CEE" w:rsidRDefault="00000000">
      <w:pPr>
        <w:pStyle w:val="Prrafodelista"/>
        <w:numPr>
          <w:ilvl w:val="1"/>
          <w:numId w:val="1"/>
        </w:numPr>
        <w:tabs>
          <w:tab w:val="left" w:pos="833"/>
        </w:tabs>
        <w:kinsoku w:val="0"/>
        <w:overflowPunct w:val="0"/>
        <w:ind w:right="134"/>
        <w:rPr>
          <w:color w:val="000000"/>
          <w:sz w:val="22"/>
          <w:szCs w:val="22"/>
        </w:rPr>
      </w:pPr>
      <w:r>
        <w:rPr>
          <w:sz w:val="22"/>
          <w:szCs w:val="22"/>
        </w:rPr>
        <w:t xml:space="preserve">Se establece un límite máximo de 900 o 1800 horas de Prácticas Externas que un estudiante puede realizar por </w:t>
      </w:r>
      <w:proofErr w:type="gramStart"/>
      <w:r>
        <w:rPr>
          <w:sz w:val="22"/>
          <w:szCs w:val="22"/>
        </w:rPr>
        <w:t>nivel  educativo</w:t>
      </w:r>
      <w:proofErr w:type="gramEnd"/>
      <w:r>
        <w:rPr>
          <w:sz w:val="22"/>
          <w:szCs w:val="22"/>
        </w:rPr>
        <w:t xml:space="preserve"> (1800 horas totales en Grado y 900 o 1800 horas totales en Máster). Las horas se acumularán entre titulaciones de un mismo nivel educativo.</w:t>
      </w:r>
    </w:p>
    <w:p w14:paraId="42686C0F" w14:textId="77777777" w:rsidR="00220CEE" w:rsidRDefault="00220CEE">
      <w:pPr>
        <w:pStyle w:val="Textoindependiente"/>
        <w:kinsoku w:val="0"/>
        <w:overflowPunct w:val="0"/>
        <w:spacing w:before="11"/>
      </w:pPr>
    </w:p>
    <w:p w14:paraId="3B0662C7" w14:textId="77777777" w:rsidR="00220CEE" w:rsidRDefault="00000000">
      <w:pPr>
        <w:pStyle w:val="Prrafodelista"/>
        <w:numPr>
          <w:ilvl w:val="1"/>
          <w:numId w:val="1"/>
        </w:numPr>
        <w:tabs>
          <w:tab w:val="left" w:pos="833"/>
        </w:tabs>
        <w:kinsoku w:val="0"/>
        <w:overflowPunct w:val="0"/>
        <w:ind w:right="132"/>
        <w:rPr>
          <w:sz w:val="22"/>
          <w:szCs w:val="22"/>
        </w:rPr>
      </w:pPr>
      <w:r>
        <w:rPr>
          <w:sz w:val="22"/>
          <w:szCs w:val="22"/>
        </w:rPr>
        <w:t>Se establece un límite máximo de dos cursos académicos de Prácticas Externas que un estudiante puede realizar en una misma</w:t>
      </w:r>
      <w:r>
        <w:rPr>
          <w:spacing w:val="-21"/>
          <w:sz w:val="22"/>
          <w:szCs w:val="22"/>
        </w:rPr>
        <w:t xml:space="preserve"> </w:t>
      </w:r>
      <w:r>
        <w:rPr>
          <w:sz w:val="22"/>
          <w:szCs w:val="22"/>
        </w:rPr>
        <w:t>empresa.</w:t>
      </w:r>
    </w:p>
    <w:p w14:paraId="7F083246" w14:textId="77777777" w:rsidR="00220CEE" w:rsidRDefault="00000000">
      <w:pPr>
        <w:widowControl/>
        <w:autoSpaceDE/>
        <w:autoSpaceDN/>
        <w:adjustRightInd/>
        <w:spacing w:after="160" w:line="259" w:lineRule="auto"/>
        <w:rPr>
          <w:sz w:val="22"/>
          <w:szCs w:val="22"/>
        </w:rPr>
      </w:pPr>
      <w:r>
        <w:rPr>
          <w:sz w:val="22"/>
          <w:szCs w:val="22"/>
        </w:rPr>
        <w:br w:type="page"/>
      </w:r>
    </w:p>
    <w:p w14:paraId="787D9A4B" w14:textId="77777777" w:rsidR="00220CEE" w:rsidRDefault="00220CEE">
      <w:pPr>
        <w:pStyle w:val="Prrafodelista"/>
        <w:rPr>
          <w:color w:val="000000"/>
          <w:sz w:val="22"/>
          <w:szCs w:val="22"/>
        </w:rPr>
      </w:pPr>
    </w:p>
    <w:tbl>
      <w:tblPr>
        <w:tblStyle w:val="Tablaconcuadrcula"/>
        <w:tblW w:w="0" w:type="auto"/>
        <w:tblInd w:w="113" w:type="dxa"/>
        <w:tblLook w:val="04A0" w:firstRow="1" w:lastRow="0" w:firstColumn="1" w:lastColumn="0" w:noHBand="0" w:noVBand="1"/>
      </w:tblPr>
      <w:tblGrid>
        <w:gridCol w:w="5246"/>
        <w:gridCol w:w="4471"/>
      </w:tblGrid>
      <w:tr w:rsidR="00220CEE" w14:paraId="442B047A" w14:textId="77777777">
        <w:tc>
          <w:tcPr>
            <w:tcW w:w="9757" w:type="dxa"/>
            <w:gridSpan w:val="2"/>
          </w:tcPr>
          <w:p w14:paraId="05951A9F" w14:textId="77777777" w:rsidR="00220CEE" w:rsidRDefault="00000000">
            <w:pPr>
              <w:pStyle w:val="Prrafodelista"/>
              <w:tabs>
                <w:tab w:val="left" w:pos="833"/>
              </w:tabs>
              <w:kinsoku w:val="0"/>
              <w:overflowPunct w:val="0"/>
              <w:spacing w:before="40" w:after="40"/>
              <w:ind w:left="0" w:firstLine="0"/>
              <w:jc w:val="center"/>
              <w:rPr>
                <w:b/>
                <w:color w:val="000000"/>
                <w:sz w:val="22"/>
                <w:szCs w:val="22"/>
              </w:rPr>
            </w:pPr>
            <w:r>
              <w:rPr>
                <w:b/>
                <w:color w:val="000000"/>
                <w:sz w:val="22"/>
                <w:szCs w:val="22"/>
              </w:rPr>
              <w:t>LÍMITE DE DEDICACIÓN TEMPORAL</w:t>
            </w:r>
          </w:p>
        </w:tc>
      </w:tr>
      <w:tr w:rsidR="00220CEE" w14:paraId="720F85D8" w14:textId="77777777">
        <w:tc>
          <w:tcPr>
            <w:tcW w:w="5269" w:type="dxa"/>
          </w:tcPr>
          <w:p w14:paraId="4157976F" w14:textId="77777777" w:rsidR="00220CEE" w:rsidRDefault="00000000">
            <w:pPr>
              <w:pStyle w:val="Prrafodelista"/>
              <w:tabs>
                <w:tab w:val="left" w:pos="833"/>
              </w:tabs>
              <w:kinsoku w:val="0"/>
              <w:overflowPunct w:val="0"/>
              <w:spacing w:before="120" w:after="120"/>
              <w:ind w:left="0" w:firstLine="0"/>
              <w:rPr>
                <w:color w:val="000000"/>
                <w:sz w:val="22"/>
                <w:szCs w:val="22"/>
              </w:rPr>
            </w:pPr>
            <w:r>
              <w:rPr>
                <w:color w:val="000000"/>
                <w:sz w:val="22"/>
                <w:szCs w:val="22"/>
              </w:rPr>
              <w:t>Curso académico de 60 ECTS anuales o superior.</w:t>
            </w:r>
          </w:p>
        </w:tc>
        <w:tc>
          <w:tcPr>
            <w:tcW w:w="4488" w:type="dxa"/>
          </w:tcPr>
          <w:p w14:paraId="5859525E" w14:textId="77777777" w:rsidR="00220CEE" w:rsidRDefault="00000000">
            <w:pPr>
              <w:pStyle w:val="Prrafodelista"/>
              <w:tabs>
                <w:tab w:val="left" w:pos="833"/>
              </w:tabs>
              <w:kinsoku w:val="0"/>
              <w:overflowPunct w:val="0"/>
              <w:spacing w:after="120"/>
              <w:ind w:left="0" w:firstLine="0"/>
              <w:rPr>
                <w:color w:val="000000"/>
                <w:sz w:val="22"/>
                <w:szCs w:val="22"/>
              </w:rPr>
            </w:pPr>
            <w:r>
              <w:rPr>
                <w:color w:val="000000"/>
                <w:sz w:val="22"/>
                <w:szCs w:val="22"/>
              </w:rPr>
              <w:t>Máximo 900 horas/curso.</w:t>
            </w:r>
          </w:p>
          <w:p w14:paraId="75B9C034" w14:textId="77777777" w:rsidR="00220CEE" w:rsidRDefault="00000000">
            <w:pPr>
              <w:pStyle w:val="Prrafodelista"/>
              <w:tabs>
                <w:tab w:val="left" w:pos="833"/>
              </w:tabs>
              <w:kinsoku w:val="0"/>
              <w:overflowPunct w:val="0"/>
              <w:spacing w:after="120"/>
              <w:ind w:left="0" w:firstLine="0"/>
              <w:rPr>
                <w:color w:val="000000"/>
                <w:sz w:val="22"/>
                <w:szCs w:val="22"/>
              </w:rPr>
            </w:pPr>
            <w:r>
              <w:rPr>
                <w:color w:val="000000"/>
                <w:sz w:val="22"/>
                <w:szCs w:val="22"/>
              </w:rPr>
              <w:t>Máximo 1800 horas duración total.</w:t>
            </w:r>
          </w:p>
        </w:tc>
      </w:tr>
      <w:tr w:rsidR="00220CEE" w14:paraId="50935B8E" w14:textId="77777777">
        <w:tc>
          <w:tcPr>
            <w:tcW w:w="5269" w:type="dxa"/>
          </w:tcPr>
          <w:p w14:paraId="588EB284" w14:textId="77777777" w:rsidR="00220CEE" w:rsidRDefault="00000000">
            <w:pPr>
              <w:pStyle w:val="Prrafodelista"/>
              <w:tabs>
                <w:tab w:val="left" w:pos="833"/>
              </w:tabs>
              <w:kinsoku w:val="0"/>
              <w:overflowPunct w:val="0"/>
              <w:spacing w:before="120" w:after="120"/>
              <w:ind w:left="0" w:firstLine="0"/>
              <w:rPr>
                <w:color w:val="000000"/>
                <w:sz w:val="22"/>
                <w:szCs w:val="22"/>
              </w:rPr>
            </w:pPr>
            <w:r>
              <w:rPr>
                <w:color w:val="000000"/>
                <w:sz w:val="22"/>
                <w:szCs w:val="22"/>
              </w:rPr>
              <w:t>Curso académico de 30 ECTS.</w:t>
            </w:r>
          </w:p>
        </w:tc>
        <w:tc>
          <w:tcPr>
            <w:tcW w:w="4488" w:type="dxa"/>
          </w:tcPr>
          <w:p w14:paraId="75636650" w14:textId="77777777" w:rsidR="00220CEE" w:rsidRDefault="00000000">
            <w:pPr>
              <w:pStyle w:val="Prrafodelista"/>
              <w:tabs>
                <w:tab w:val="left" w:pos="833"/>
              </w:tabs>
              <w:kinsoku w:val="0"/>
              <w:overflowPunct w:val="0"/>
              <w:spacing w:after="120"/>
              <w:ind w:left="0" w:firstLine="0"/>
              <w:rPr>
                <w:color w:val="000000"/>
                <w:sz w:val="22"/>
                <w:szCs w:val="22"/>
              </w:rPr>
            </w:pPr>
            <w:r>
              <w:rPr>
                <w:color w:val="000000"/>
                <w:sz w:val="22"/>
                <w:szCs w:val="22"/>
              </w:rPr>
              <w:t>Máximo 450 horas/curso.</w:t>
            </w:r>
          </w:p>
          <w:p w14:paraId="01590EA4" w14:textId="77777777" w:rsidR="00220CEE" w:rsidRDefault="00000000">
            <w:pPr>
              <w:pStyle w:val="Prrafodelista"/>
              <w:tabs>
                <w:tab w:val="left" w:pos="833"/>
              </w:tabs>
              <w:kinsoku w:val="0"/>
              <w:overflowPunct w:val="0"/>
              <w:spacing w:after="120"/>
              <w:ind w:left="0" w:firstLine="0"/>
              <w:rPr>
                <w:color w:val="000000"/>
                <w:sz w:val="22"/>
                <w:szCs w:val="22"/>
              </w:rPr>
            </w:pPr>
            <w:r>
              <w:rPr>
                <w:color w:val="000000"/>
                <w:sz w:val="22"/>
                <w:szCs w:val="22"/>
              </w:rPr>
              <w:t>Máximo 900 horas duración total.</w:t>
            </w:r>
          </w:p>
        </w:tc>
      </w:tr>
    </w:tbl>
    <w:p w14:paraId="402C3659" w14:textId="77777777" w:rsidR="00220CEE" w:rsidRDefault="00220CEE">
      <w:pPr>
        <w:pStyle w:val="Textoindependiente"/>
        <w:kinsoku w:val="0"/>
        <w:overflowPunct w:val="0"/>
        <w:spacing w:before="9"/>
      </w:pPr>
    </w:p>
    <w:p w14:paraId="7B2DB883" w14:textId="77777777" w:rsidR="00220CEE" w:rsidRDefault="00220CEE">
      <w:pPr>
        <w:pStyle w:val="Textoindependiente"/>
        <w:kinsoku w:val="0"/>
        <w:overflowPunct w:val="0"/>
        <w:spacing w:before="9"/>
      </w:pPr>
    </w:p>
    <w:p w14:paraId="240C8509" w14:textId="77777777" w:rsidR="00220CEE" w:rsidRDefault="00000000">
      <w:pPr>
        <w:pStyle w:val="Ttulo1"/>
        <w:numPr>
          <w:ilvl w:val="0"/>
          <w:numId w:val="2"/>
        </w:numPr>
        <w:tabs>
          <w:tab w:val="left" w:pos="451"/>
        </w:tabs>
        <w:kinsoku w:val="0"/>
        <w:overflowPunct w:val="0"/>
        <w:ind w:right="131" w:firstLine="1"/>
      </w:pPr>
      <w:proofErr w:type="gramStart"/>
      <w:r>
        <w:t>Cuantías mínimas a percibir</w:t>
      </w:r>
      <w:proofErr w:type="gramEnd"/>
      <w:r>
        <w:t xml:space="preserve"> por los alumnos de la UPM como bolsa o ayuda al estudio durante el desarrollo de Prácticas Académicas Externas</w:t>
      </w:r>
      <w:r>
        <w:rPr>
          <w:spacing w:val="-29"/>
        </w:rPr>
        <w:t xml:space="preserve"> </w:t>
      </w:r>
      <w:r>
        <w:t>Extracurriculares.</w:t>
      </w:r>
    </w:p>
    <w:p w14:paraId="0F585F19" w14:textId="77777777" w:rsidR="00220CEE" w:rsidRDefault="00220CEE">
      <w:pPr>
        <w:pStyle w:val="Textoindependiente"/>
        <w:kinsoku w:val="0"/>
        <w:overflowPunct w:val="0"/>
        <w:spacing w:before="9" w:after="1"/>
        <w:rPr>
          <w:b/>
          <w:bCs/>
        </w:rPr>
      </w:pPr>
    </w:p>
    <w:tbl>
      <w:tblPr>
        <w:tblW w:w="9781" w:type="dxa"/>
        <w:tblInd w:w="137" w:type="dxa"/>
        <w:tblLayout w:type="fixed"/>
        <w:tblCellMar>
          <w:left w:w="0" w:type="dxa"/>
          <w:right w:w="0" w:type="dxa"/>
        </w:tblCellMar>
        <w:tblLook w:val="04A0" w:firstRow="1" w:lastRow="0" w:firstColumn="1" w:lastColumn="0" w:noHBand="0" w:noVBand="1"/>
      </w:tblPr>
      <w:tblGrid>
        <w:gridCol w:w="4382"/>
        <w:gridCol w:w="2564"/>
        <w:gridCol w:w="2835"/>
      </w:tblGrid>
      <w:tr w:rsidR="00220CEE" w14:paraId="4505B725" w14:textId="77777777">
        <w:trPr>
          <w:trHeight w:val="360"/>
        </w:trPr>
        <w:tc>
          <w:tcPr>
            <w:tcW w:w="4382" w:type="dxa"/>
            <w:vMerge w:val="restart"/>
            <w:tcBorders>
              <w:top w:val="single" w:sz="4" w:space="0" w:color="000000"/>
              <w:left w:val="single" w:sz="4" w:space="0" w:color="000000"/>
              <w:bottom w:val="single" w:sz="4" w:space="0" w:color="000000"/>
              <w:right w:val="single" w:sz="4" w:space="0" w:color="000000"/>
            </w:tcBorders>
          </w:tcPr>
          <w:p w14:paraId="4C44F7BB" w14:textId="77777777" w:rsidR="00220CEE" w:rsidRDefault="00220CEE">
            <w:pPr>
              <w:pStyle w:val="TableParagraph"/>
              <w:kinsoku w:val="0"/>
              <w:overflowPunct w:val="0"/>
              <w:ind w:left="0"/>
              <w:rPr>
                <w:b/>
                <w:bCs/>
                <w:sz w:val="22"/>
                <w:szCs w:val="22"/>
              </w:rPr>
            </w:pPr>
          </w:p>
          <w:p w14:paraId="0CE09CE0" w14:textId="77777777" w:rsidR="00220CEE" w:rsidRDefault="00000000">
            <w:pPr>
              <w:pStyle w:val="TableParagraph"/>
              <w:kinsoku w:val="0"/>
              <w:overflowPunct w:val="0"/>
              <w:spacing w:before="161"/>
              <w:ind w:left="101"/>
              <w:rPr>
                <w:b/>
                <w:bCs/>
                <w:sz w:val="22"/>
                <w:szCs w:val="22"/>
              </w:rPr>
            </w:pPr>
            <w:r>
              <w:rPr>
                <w:b/>
                <w:bCs/>
                <w:sz w:val="22"/>
                <w:szCs w:val="22"/>
              </w:rPr>
              <w:t>Alumnos de Grado</w:t>
            </w:r>
          </w:p>
        </w:tc>
        <w:tc>
          <w:tcPr>
            <w:tcW w:w="2564" w:type="dxa"/>
            <w:tcBorders>
              <w:top w:val="single" w:sz="4" w:space="0" w:color="000000"/>
              <w:left w:val="single" w:sz="4" w:space="0" w:color="000000"/>
              <w:bottom w:val="single" w:sz="4" w:space="0" w:color="000000"/>
              <w:right w:val="single" w:sz="4" w:space="0" w:color="000000"/>
            </w:tcBorders>
          </w:tcPr>
          <w:p w14:paraId="1FEEEBFC" w14:textId="77777777" w:rsidR="00220CEE" w:rsidRDefault="00000000">
            <w:pPr>
              <w:pStyle w:val="TableParagraph"/>
              <w:kinsoku w:val="0"/>
              <w:overflowPunct w:val="0"/>
              <w:spacing w:before="55"/>
              <w:ind w:left="101"/>
              <w:rPr>
                <w:sz w:val="22"/>
                <w:szCs w:val="22"/>
              </w:rPr>
            </w:pPr>
            <w:r>
              <w:rPr>
                <w:sz w:val="22"/>
                <w:szCs w:val="22"/>
              </w:rPr>
              <w:t>Hasta 25 horas</w:t>
            </w:r>
          </w:p>
        </w:tc>
        <w:tc>
          <w:tcPr>
            <w:tcW w:w="2835" w:type="dxa"/>
            <w:tcBorders>
              <w:top w:val="single" w:sz="4" w:space="0" w:color="000000"/>
              <w:left w:val="single" w:sz="4" w:space="0" w:color="000000"/>
              <w:bottom w:val="single" w:sz="4" w:space="0" w:color="000000"/>
              <w:right w:val="single" w:sz="4" w:space="0" w:color="000000"/>
            </w:tcBorders>
          </w:tcPr>
          <w:p w14:paraId="2BDFD546" w14:textId="77777777" w:rsidR="00220CEE" w:rsidRDefault="00000000">
            <w:pPr>
              <w:pStyle w:val="TableParagraph"/>
              <w:kinsoku w:val="0"/>
              <w:overflowPunct w:val="0"/>
              <w:spacing w:before="55"/>
              <w:ind w:left="307" w:right="307"/>
              <w:jc w:val="center"/>
              <w:rPr>
                <w:color w:val="000000" w:themeColor="text1"/>
                <w:sz w:val="22"/>
                <w:szCs w:val="22"/>
              </w:rPr>
            </w:pPr>
            <w:r>
              <w:rPr>
                <w:color w:val="000000" w:themeColor="text1"/>
                <w:sz w:val="22"/>
                <w:szCs w:val="22"/>
              </w:rPr>
              <w:t xml:space="preserve">450 </w:t>
            </w:r>
            <w:proofErr w:type="gramStart"/>
            <w:r>
              <w:rPr>
                <w:color w:val="000000" w:themeColor="text1"/>
                <w:sz w:val="22"/>
                <w:szCs w:val="22"/>
              </w:rPr>
              <w:t>Euros</w:t>
            </w:r>
            <w:proofErr w:type="gramEnd"/>
          </w:p>
        </w:tc>
      </w:tr>
      <w:tr w:rsidR="00220CEE" w14:paraId="06D6E380" w14:textId="77777777">
        <w:trPr>
          <w:trHeight w:val="360"/>
        </w:trPr>
        <w:tc>
          <w:tcPr>
            <w:tcW w:w="4382" w:type="dxa"/>
            <w:vMerge/>
            <w:tcBorders>
              <w:top w:val="single" w:sz="4" w:space="0" w:color="000000"/>
              <w:left w:val="single" w:sz="4" w:space="0" w:color="000000"/>
              <w:bottom w:val="single" w:sz="4" w:space="0" w:color="000000"/>
              <w:right w:val="single" w:sz="4" w:space="0" w:color="000000"/>
            </w:tcBorders>
          </w:tcPr>
          <w:p w14:paraId="074FE2AF" w14:textId="77777777" w:rsidR="00220CEE" w:rsidRDefault="00220CEE">
            <w:pPr>
              <w:pStyle w:val="Textoindependiente"/>
              <w:kinsoku w:val="0"/>
              <w:overflowPunct w:val="0"/>
              <w:spacing w:before="9" w:after="1"/>
              <w:rPr>
                <w:b/>
                <w:bCs/>
              </w:rPr>
            </w:pPr>
          </w:p>
        </w:tc>
        <w:tc>
          <w:tcPr>
            <w:tcW w:w="2564" w:type="dxa"/>
            <w:tcBorders>
              <w:top w:val="single" w:sz="4" w:space="0" w:color="000000"/>
              <w:left w:val="single" w:sz="4" w:space="0" w:color="000000"/>
              <w:bottom w:val="single" w:sz="4" w:space="0" w:color="000000"/>
              <w:right w:val="single" w:sz="4" w:space="0" w:color="000000"/>
            </w:tcBorders>
          </w:tcPr>
          <w:p w14:paraId="1EB7F7B1" w14:textId="77777777" w:rsidR="00220CEE" w:rsidRDefault="00000000">
            <w:pPr>
              <w:pStyle w:val="TableParagraph"/>
              <w:kinsoku w:val="0"/>
              <w:overflowPunct w:val="0"/>
              <w:spacing w:before="57"/>
              <w:ind w:left="102"/>
              <w:rPr>
                <w:sz w:val="22"/>
                <w:szCs w:val="22"/>
              </w:rPr>
            </w:pPr>
            <w:r>
              <w:rPr>
                <w:sz w:val="22"/>
                <w:szCs w:val="22"/>
              </w:rPr>
              <w:t>Hasta 30 horas</w:t>
            </w:r>
          </w:p>
        </w:tc>
        <w:tc>
          <w:tcPr>
            <w:tcW w:w="2835" w:type="dxa"/>
            <w:tcBorders>
              <w:top w:val="single" w:sz="4" w:space="0" w:color="000000"/>
              <w:left w:val="single" w:sz="4" w:space="0" w:color="000000"/>
              <w:bottom w:val="single" w:sz="4" w:space="0" w:color="000000"/>
              <w:right w:val="single" w:sz="4" w:space="0" w:color="000000"/>
            </w:tcBorders>
          </w:tcPr>
          <w:p w14:paraId="12A609E9" w14:textId="77777777" w:rsidR="00220CEE" w:rsidRDefault="00000000">
            <w:pPr>
              <w:pStyle w:val="TableParagraph"/>
              <w:kinsoku w:val="0"/>
              <w:overflowPunct w:val="0"/>
              <w:spacing w:before="57"/>
              <w:ind w:left="308" w:right="307"/>
              <w:jc w:val="center"/>
              <w:rPr>
                <w:color w:val="000000" w:themeColor="text1"/>
                <w:sz w:val="22"/>
                <w:szCs w:val="22"/>
              </w:rPr>
            </w:pPr>
            <w:r>
              <w:rPr>
                <w:color w:val="000000" w:themeColor="text1"/>
                <w:sz w:val="22"/>
                <w:szCs w:val="22"/>
              </w:rPr>
              <w:t xml:space="preserve">550 </w:t>
            </w:r>
            <w:proofErr w:type="gramStart"/>
            <w:r>
              <w:rPr>
                <w:color w:val="000000" w:themeColor="text1"/>
                <w:sz w:val="22"/>
                <w:szCs w:val="22"/>
              </w:rPr>
              <w:t>Euros</w:t>
            </w:r>
            <w:proofErr w:type="gramEnd"/>
          </w:p>
        </w:tc>
      </w:tr>
      <w:tr w:rsidR="00220CEE" w14:paraId="27AF2898" w14:textId="77777777">
        <w:trPr>
          <w:trHeight w:val="360"/>
        </w:trPr>
        <w:tc>
          <w:tcPr>
            <w:tcW w:w="4382" w:type="dxa"/>
            <w:vMerge/>
            <w:tcBorders>
              <w:top w:val="single" w:sz="4" w:space="0" w:color="000000"/>
              <w:left w:val="single" w:sz="4" w:space="0" w:color="000000"/>
              <w:bottom w:val="single" w:sz="4" w:space="0" w:color="000000"/>
              <w:right w:val="single" w:sz="4" w:space="0" w:color="000000"/>
            </w:tcBorders>
          </w:tcPr>
          <w:p w14:paraId="7CE24D49" w14:textId="77777777" w:rsidR="00220CEE" w:rsidRDefault="00220CEE">
            <w:pPr>
              <w:pStyle w:val="Textoindependiente"/>
              <w:kinsoku w:val="0"/>
              <w:overflowPunct w:val="0"/>
              <w:spacing w:before="9" w:after="1"/>
              <w:rPr>
                <w:b/>
                <w:bCs/>
              </w:rPr>
            </w:pPr>
          </w:p>
        </w:tc>
        <w:tc>
          <w:tcPr>
            <w:tcW w:w="2564" w:type="dxa"/>
            <w:tcBorders>
              <w:top w:val="single" w:sz="4" w:space="0" w:color="000000"/>
              <w:left w:val="single" w:sz="4" w:space="0" w:color="000000"/>
              <w:bottom w:val="single" w:sz="4" w:space="0" w:color="000000"/>
              <w:right w:val="single" w:sz="4" w:space="0" w:color="000000"/>
            </w:tcBorders>
          </w:tcPr>
          <w:p w14:paraId="10BBD4AC" w14:textId="77777777" w:rsidR="00220CEE" w:rsidRDefault="00000000">
            <w:pPr>
              <w:pStyle w:val="TableParagraph"/>
              <w:kinsoku w:val="0"/>
              <w:overflowPunct w:val="0"/>
              <w:spacing w:before="57"/>
              <w:ind w:left="102"/>
              <w:rPr>
                <w:sz w:val="22"/>
                <w:szCs w:val="22"/>
              </w:rPr>
            </w:pPr>
            <w:r>
              <w:rPr>
                <w:sz w:val="22"/>
                <w:szCs w:val="22"/>
              </w:rPr>
              <w:t>Hasta 35 horas</w:t>
            </w:r>
          </w:p>
        </w:tc>
        <w:tc>
          <w:tcPr>
            <w:tcW w:w="2835" w:type="dxa"/>
            <w:tcBorders>
              <w:top w:val="single" w:sz="4" w:space="0" w:color="000000"/>
              <w:left w:val="single" w:sz="4" w:space="0" w:color="000000"/>
              <w:bottom w:val="single" w:sz="4" w:space="0" w:color="000000"/>
              <w:right w:val="single" w:sz="4" w:space="0" w:color="000000"/>
            </w:tcBorders>
          </w:tcPr>
          <w:p w14:paraId="10DA745F" w14:textId="77777777" w:rsidR="00220CEE" w:rsidRDefault="00000000">
            <w:pPr>
              <w:pStyle w:val="TableParagraph"/>
              <w:kinsoku w:val="0"/>
              <w:overflowPunct w:val="0"/>
              <w:spacing w:before="57"/>
              <w:ind w:left="308" w:right="307"/>
              <w:jc w:val="center"/>
              <w:rPr>
                <w:color w:val="000000" w:themeColor="text1"/>
                <w:sz w:val="22"/>
                <w:szCs w:val="22"/>
              </w:rPr>
            </w:pPr>
            <w:r>
              <w:rPr>
                <w:color w:val="000000" w:themeColor="text1"/>
                <w:sz w:val="22"/>
                <w:szCs w:val="22"/>
              </w:rPr>
              <w:t xml:space="preserve">700 </w:t>
            </w:r>
            <w:proofErr w:type="gramStart"/>
            <w:r>
              <w:rPr>
                <w:color w:val="000000" w:themeColor="text1"/>
                <w:sz w:val="22"/>
                <w:szCs w:val="22"/>
              </w:rPr>
              <w:t>Euros</w:t>
            </w:r>
            <w:proofErr w:type="gramEnd"/>
          </w:p>
        </w:tc>
      </w:tr>
      <w:tr w:rsidR="00220CEE" w14:paraId="45EF2180" w14:textId="77777777">
        <w:trPr>
          <w:trHeight w:val="360"/>
        </w:trPr>
        <w:tc>
          <w:tcPr>
            <w:tcW w:w="4382" w:type="dxa"/>
            <w:vMerge w:val="restart"/>
            <w:tcBorders>
              <w:top w:val="single" w:sz="4" w:space="0" w:color="000000"/>
              <w:left w:val="single" w:sz="4" w:space="0" w:color="000000"/>
              <w:bottom w:val="single" w:sz="4" w:space="0" w:color="000000"/>
              <w:right w:val="single" w:sz="4" w:space="0" w:color="000000"/>
            </w:tcBorders>
          </w:tcPr>
          <w:p w14:paraId="05B51F05" w14:textId="77777777" w:rsidR="00220CEE" w:rsidRDefault="00220CEE">
            <w:pPr>
              <w:pStyle w:val="TableParagraph"/>
              <w:kinsoku w:val="0"/>
              <w:overflowPunct w:val="0"/>
              <w:spacing w:before="1"/>
              <w:ind w:left="0"/>
              <w:rPr>
                <w:b/>
                <w:bCs/>
                <w:sz w:val="22"/>
                <w:szCs w:val="22"/>
              </w:rPr>
            </w:pPr>
          </w:p>
          <w:p w14:paraId="1073C774" w14:textId="77777777" w:rsidR="00220CEE" w:rsidRDefault="00000000">
            <w:pPr>
              <w:pStyle w:val="TableParagraph"/>
              <w:tabs>
                <w:tab w:val="left" w:pos="1329"/>
                <w:tab w:val="left" w:pos="1871"/>
              </w:tabs>
              <w:kinsoku w:val="0"/>
              <w:overflowPunct w:val="0"/>
              <w:ind w:left="103" w:right="101"/>
              <w:rPr>
                <w:b/>
                <w:bCs/>
                <w:sz w:val="22"/>
                <w:szCs w:val="22"/>
              </w:rPr>
            </w:pPr>
            <w:r>
              <w:rPr>
                <w:b/>
                <w:bCs/>
                <w:sz w:val="22"/>
                <w:szCs w:val="22"/>
              </w:rPr>
              <w:t>Alumnos de Máster y</w:t>
            </w:r>
            <w:r>
              <w:rPr>
                <w:b/>
                <w:bCs/>
                <w:spacing w:val="-6"/>
                <w:sz w:val="22"/>
                <w:szCs w:val="22"/>
              </w:rPr>
              <w:t xml:space="preserve"> </w:t>
            </w:r>
            <w:r>
              <w:rPr>
                <w:b/>
                <w:bCs/>
                <w:sz w:val="22"/>
                <w:szCs w:val="22"/>
              </w:rPr>
              <w:t>equivalentes</w:t>
            </w:r>
          </w:p>
        </w:tc>
        <w:tc>
          <w:tcPr>
            <w:tcW w:w="2564" w:type="dxa"/>
            <w:tcBorders>
              <w:top w:val="single" w:sz="4" w:space="0" w:color="000000"/>
              <w:left w:val="single" w:sz="4" w:space="0" w:color="000000"/>
              <w:bottom w:val="single" w:sz="4" w:space="0" w:color="000000"/>
              <w:right w:val="single" w:sz="4" w:space="0" w:color="000000"/>
            </w:tcBorders>
          </w:tcPr>
          <w:p w14:paraId="44B76F4D" w14:textId="77777777" w:rsidR="00220CEE" w:rsidRDefault="00000000">
            <w:pPr>
              <w:pStyle w:val="TableParagraph"/>
              <w:kinsoku w:val="0"/>
              <w:overflowPunct w:val="0"/>
              <w:spacing w:before="57"/>
              <w:ind w:left="102"/>
              <w:rPr>
                <w:sz w:val="22"/>
                <w:szCs w:val="22"/>
              </w:rPr>
            </w:pPr>
            <w:r>
              <w:rPr>
                <w:sz w:val="22"/>
                <w:szCs w:val="22"/>
              </w:rPr>
              <w:t>Hasta 25 horas</w:t>
            </w:r>
          </w:p>
        </w:tc>
        <w:tc>
          <w:tcPr>
            <w:tcW w:w="2835" w:type="dxa"/>
            <w:tcBorders>
              <w:top w:val="single" w:sz="4" w:space="0" w:color="000000"/>
              <w:left w:val="single" w:sz="4" w:space="0" w:color="000000"/>
              <w:bottom w:val="single" w:sz="4" w:space="0" w:color="000000"/>
              <w:right w:val="single" w:sz="4" w:space="0" w:color="000000"/>
            </w:tcBorders>
          </w:tcPr>
          <w:p w14:paraId="4C35C5B9" w14:textId="77777777" w:rsidR="00220CEE" w:rsidRDefault="00000000">
            <w:pPr>
              <w:pStyle w:val="TableParagraph"/>
              <w:kinsoku w:val="0"/>
              <w:overflowPunct w:val="0"/>
              <w:spacing w:before="57"/>
              <w:ind w:left="308" w:right="306"/>
              <w:jc w:val="center"/>
              <w:rPr>
                <w:color w:val="000000" w:themeColor="text1"/>
                <w:sz w:val="22"/>
                <w:szCs w:val="22"/>
              </w:rPr>
            </w:pPr>
            <w:r>
              <w:rPr>
                <w:color w:val="000000" w:themeColor="text1"/>
                <w:sz w:val="22"/>
                <w:szCs w:val="22"/>
              </w:rPr>
              <w:t xml:space="preserve">600 </w:t>
            </w:r>
            <w:proofErr w:type="gramStart"/>
            <w:r>
              <w:rPr>
                <w:color w:val="000000" w:themeColor="text1"/>
                <w:sz w:val="22"/>
                <w:szCs w:val="22"/>
              </w:rPr>
              <w:t>Euros</w:t>
            </w:r>
            <w:proofErr w:type="gramEnd"/>
          </w:p>
        </w:tc>
      </w:tr>
      <w:tr w:rsidR="00220CEE" w14:paraId="36350CF4" w14:textId="77777777">
        <w:trPr>
          <w:trHeight w:val="360"/>
        </w:trPr>
        <w:tc>
          <w:tcPr>
            <w:tcW w:w="4382" w:type="dxa"/>
            <w:vMerge/>
            <w:tcBorders>
              <w:top w:val="single" w:sz="4" w:space="0" w:color="000000"/>
              <w:left w:val="single" w:sz="4" w:space="0" w:color="000000"/>
              <w:bottom w:val="single" w:sz="4" w:space="0" w:color="000000"/>
              <w:right w:val="single" w:sz="4" w:space="0" w:color="000000"/>
            </w:tcBorders>
          </w:tcPr>
          <w:p w14:paraId="01E4F66F" w14:textId="77777777" w:rsidR="00220CEE" w:rsidRDefault="00220CEE">
            <w:pPr>
              <w:pStyle w:val="Textoindependiente"/>
              <w:kinsoku w:val="0"/>
              <w:overflowPunct w:val="0"/>
              <w:spacing w:before="9" w:after="1"/>
              <w:rPr>
                <w:b/>
                <w:bCs/>
              </w:rPr>
            </w:pPr>
          </w:p>
        </w:tc>
        <w:tc>
          <w:tcPr>
            <w:tcW w:w="2564" w:type="dxa"/>
            <w:tcBorders>
              <w:top w:val="single" w:sz="4" w:space="0" w:color="000000"/>
              <w:left w:val="single" w:sz="4" w:space="0" w:color="000000"/>
              <w:bottom w:val="single" w:sz="4" w:space="0" w:color="000000"/>
              <w:right w:val="single" w:sz="4" w:space="0" w:color="000000"/>
            </w:tcBorders>
          </w:tcPr>
          <w:p w14:paraId="47CEA603" w14:textId="77777777" w:rsidR="00220CEE" w:rsidRDefault="00000000">
            <w:pPr>
              <w:pStyle w:val="TableParagraph"/>
              <w:kinsoku w:val="0"/>
              <w:overflowPunct w:val="0"/>
              <w:spacing w:before="60"/>
              <w:ind w:left="102"/>
              <w:rPr>
                <w:sz w:val="22"/>
                <w:szCs w:val="22"/>
              </w:rPr>
            </w:pPr>
            <w:r>
              <w:rPr>
                <w:sz w:val="22"/>
                <w:szCs w:val="22"/>
              </w:rPr>
              <w:t>Hasta 30 horas</w:t>
            </w:r>
          </w:p>
        </w:tc>
        <w:tc>
          <w:tcPr>
            <w:tcW w:w="2835" w:type="dxa"/>
            <w:tcBorders>
              <w:top w:val="single" w:sz="4" w:space="0" w:color="000000"/>
              <w:left w:val="single" w:sz="4" w:space="0" w:color="000000"/>
              <w:bottom w:val="single" w:sz="4" w:space="0" w:color="000000"/>
              <w:right w:val="single" w:sz="4" w:space="0" w:color="000000"/>
            </w:tcBorders>
          </w:tcPr>
          <w:p w14:paraId="5DC3A8F1" w14:textId="77777777" w:rsidR="00220CEE" w:rsidRDefault="00000000">
            <w:pPr>
              <w:pStyle w:val="TableParagraph"/>
              <w:kinsoku w:val="0"/>
              <w:overflowPunct w:val="0"/>
              <w:spacing w:before="60"/>
              <w:ind w:left="308" w:right="307"/>
              <w:jc w:val="center"/>
              <w:rPr>
                <w:color w:val="000000" w:themeColor="text1"/>
                <w:sz w:val="22"/>
                <w:szCs w:val="22"/>
              </w:rPr>
            </w:pPr>
            <w:r>
              <w:rPr>
                <w:color w:val="000000" w:themeColor="text1"/>
                <w:sz w:val="22"/>
                <w:szCs w:val="22"/>
              </w:rPr>
              <w:t xml:space="preserve">700 </w:t>
            </w:r>
            <w:proofErr w:type="gramStart"/>
            <w:r>
              <w:rPr>
                <w:color w:val="000000" w:themeColor="text1"/>
                <w:sz w:val="22"/>
                <w:szCs w:val="22"/>
              </w:rPr>
              <w:t>Euros</w:t>
            </w:r>
            <w:proofErr w:type="gramEnd"/>
          </w:p>
        </w:tc>
      </w:tr>
      <w:tr w:rsidR="00220CEE" w14:paraId="62925133" w14:textId="77777777">
        <w:trPr>
          <w:trHeight w:val="360"/>
        </w:trPr>
        <w:tc>
          <w:tcPr>
            <w:tcW w:w="4382" w:type="dxa"/>
            <w:vMerge/>
            <w:tcBorders>
              <w:top w:val="single" w:sz="4" w:space="0" w:color="000000"/>
              <w:left w:val="single" w:sz="4" w:space="0" w:color="000000"/>
              <w:bottom w:val="single" w:sz="4" w:space="0" w:color="000000"/>
              <w:right w:val="single" w:sz="4" w:space="0" w:color="000000"/>
            </w:tcBorders>
          </w:tcPr>
          <w:p w14:paraId="2C3EB998" w14:textId="77777777" w:rsidR="00220CEE" w:rsidRDefault="00220CEE">
            <w:pPr>
              <w:pStyle w:val="Textoindependiente"/>
              <w:kinsoku w:val="0"/>
              <w:overflowPunct w:val="0"/>
              <w:spacing w:before="9" w:after="1"/>
              <w:rPr>
                <w:b/>
                <w:bCs/>
              </w:rPr>
            </w:pPr>
          </w:p>
        </w:tc>
        <w:tc>
          <w:tcPr>
            <w:tcW w:w="2564" w:type="dxa"/>
            <w:tcBorders>
              <w:top w:val="single" w:sz="4" w:space="0" w:color="000000"/>
              <w:left w:val="single" w:sz="4" w:space="0" w:color="000000"/>
              <w:bottom w:val="single" w:sz="4" w:space="0" w:color="000000"/>
              <w:right w:val="single" w:sz="4" w:space="0" w:color="000000"/>
            </w:tcBorders>
          </w:tcPr>
          <w:p w14:paraId="7D62C499" w14:textId="77777777" w:rsidR="00220CEE" w:rsidRDefault="00000000">
            <w:pPr>
              <w:pStyle w:val="TableParagraph"/>
              <w:kinsoku w:val="0"/>
              <w:overflowPunct w:val="0"/>
              <w:spacing w:before="57"/>
              <w:ind w:left="102"/>
              <w:rPr>
                <w:sz w:val="22"/>
                <w:szCs w:val="22"/>
              </w:rPr>
            </w:pPr>
            <w:r>
              <w:rPr>
                <w:sz w:val="22"/>
                <w:szCs w:val="22"/>
              </w:rPr>
              <w:t>Hasta 35 horas</w:t>
            </w:r>
          </w:p>
        </w:tc>
        <w:tc>
          <w:tcPr>
            <w:tcW w:w="2835" w:type="dxa"/>
            <w:tcBorders>
              <w:top w:val="single" w:sz="4" w:space="0" w:color="000000"/>
              <w:left w:val="single" w:sz="4" w:space="0" w:color="000000"/>
              <w:bottom w:val="single" w:sz="4" w:space="0" w:color="000000"/>
              <w:right w:val="single" w:sz="4" w:space="0" w:color="000000"/>
            </w:tcBorders>
          </w:tcPr>
          <w:p w14:paraId="511D0D41" w14:textId="77777777" w:rsidR="00220CEE" w:rsidRDefault="00000000">
            <w:pPr>
              <w:pStyle w:val="TableParagraph"/>
              <w:kinsoku w:val="0"/>
              <w:overflowPunct w:val="0"/>
              <w:spacing w:before="57"/>
              <w:ind w:left="308" w:right="307"/>
              <w:jc w:val="center"/>
              <w:rPr>
                <w:color w:val="000000" w:themeColor="text1"/>
                <w:sz w:val="22"/>
                <w:szCs w:val="22"/>
              </w:rPr>
            </w:pPr>
            <w:r>
              <w:rPr>
                <w:color w:val="000000" w:themeColor="text1"/>
                <w:sz w:val="22"/>
                <w:szCs w:val="22"/>
              </w:rPr>
              <w:t xml:space="preserve">800 </w:t>
            </w:r>
            <w:proofErr w:type="gramStart"/>
            <w:r>
              <w:rPr>
                <w:color w:val="000000" w:themeColor="text1"/>
                <w:sz w:val="22"/>
                <w:szCs w:val="22"/>
              </w:rPr>
              <w:t>Euros</w:t>
            </w:r>
            <w:proofErr w:type="gramEnd"/>
          </w:p>
        </w:tc>
      </w:tr>
    </w:tbl>
    <w:p w14:paraId="22420285" w14:textId="77777777" w:rsidR="00220CEE" w:rsidRDefault="00000000">
      <w:pPr>
        <w:pStyle w:val="Prrafodelista"/>
        <w:tabs>
          <w:tab w:val="left" w:pos="359"/>
        </w:tabs>
        <w:kinsoku w:val="0"/>
        <w:overflowPunct w:val="0"/>
        <w:spacing w:before="176"/>
        <w:ind w:left="358" w:right="0" w:firstLine="0"/>
        <w:jc w:val="left"/>
        <w:rPr>
          <w:bCs/>
          <w:sz w:val="22"/>
          <w:szCs w:val="22"/>
        </w:rPr>
      </w:pPr>
      <w:r>
        <w:rPr>
          <w:bCs/>
          <w:sz w:val="22"/>
          <w:szCs w:val="22"/>
        </w:rPr>
        <w:t>De establecerse una dedicación inferior a estos tramos la cuantía será proporcional.</w:t>
      </w:r>
    </w:p>
    <w:p w14:paraId="59677EDB" w14:textId="77777777" w:rsidR="00220CEE" w:rsidRPr="008C655D" w:rsidRDefault="00000000">
      <w:pPr>
        <w:pStyle w:val="Prrafodelista"/>
        <w:tabs>
          <w:tab w:val="left" w:pos="359"/>
        </w:tabs>
        <w:kinsoku w:val="0"/>
        <w:overflowPunct w:val="0"/>
        <w:spacing w:before="176"/>
        <w:ind w:left="358" w:right="0" w:firstLine="0"/>
        <w:jc w:val="left"/>
        <w:rPr>
          <w:bCs/>
          <w:sz w:val="22"/>
          <w:szCs w:val="22"/>
        </w:rPr>
      </w:pPr>
      <w:r>
        <w:rPr>
          <w:bCs/>
          <w:sz w:val="22"/>
          <w:szCs w:val="22"/>
        </w:rPr>
        <w:t xml:space="preserve">Cualquier propuesta de minoración de estas cuantías por parte de una entidad colaboradora deberá estar plenamente justificada y </w:t>
      </w:r>
      <w:r w:rsidRPr="008C655D">
        <w:rPr>
          <w:bCs/>
          <w:sz w:val="22"/>
          <w:szCs w:val="22"/>
        </w:rPr>
        <w:t>será sometida, de forma absolutamente excepcional, a valoración por parte de la Vicerrectora de Estudiantes, Empleabilidad y Extensión Universitaria.</w:t>
      </w:r>
    </w:p>
    <w:p w14:paraId="727A8FE4" w14:textId="77777777" w:rsidR="00220CEE" w:rsidRPr="008C655D" w:rsidRDefault="00000000">
      <w:pPr>
        <w:pStyle w:val="Prrafodelista"/>
        <w:numPr>
          <w:ilvl w:val="0"/>
          <w:numId w:val="2"/>
        </w:numPr>
        <w:tabs>
          <w:tab w:val="left" w:pos="359"/>
        </w:tabs>
        <w:kinsoku w:val="0"/>
        <w:overflowPunct w:val="0"/>
        <w:spacing w:before="176"/>
        <w:ind w:left="358" w:right="0" w:hanging="247"/>
        <w:jc w:val="left"/>
        <w:rPr>
          <w:b/>
          <w:bCs/>
          <w:sz w:val="22"/>
          <w:szCs w:val="22"/>
        </w:rPr>
      </w:pPr>
      <w:r w:rsidRPr="008C655D">
        <w:rPr>
          <w:b/>
          <w:bCs/>
          <w:sz w:val="22"/>
          <w:szCs w:val="22"/>
        </w:rPr>
        <w:t>Consideraciones</w:t>
      </w:r>
      <w:r w:rsidRPr="008C655D">
        <w:rPr>
          <w:b/>
          <w:bCs/>
          <w:spacing w:val="-13"/>
          <w:sz w:val="22"/>
          <w:szCs w:val="22"/>
        </w:rPr>
        <w:t xml:space="preserve"> </w:t>
      </w:r>
      <w:r w:rsidRPr="008C655D">
        <w:rPr>
          <w:b/>
          <w:bCs/>
          <w:sz w:val="22"/>
          <w:szCs w:val="22"/>
        </w:rPr>
        <w:t>adicionales.</w:t>
      </w:r>
    </w:p>
    <w:p w14:paraId="62EF1317" w14:textId="77777777" w:rsidR="00220CEE" w:rsidRPr="008C655D" w:rsidRDefault="00220CEE">
      <w:pPr>
        <w:pStyle w:val="Textoindependiente"/>
        <w:kinsoku w:val="0"/>
        <w:overflowPunct w:val="0"/>
        <w:rPr>
          <w:b/>
          <w:bCs/>
        </w:rPr>
      </w:pPr>
    </w:p>
    <w:p w14:paraId="08BC3D8A" w14:textId="77777777" w:rsidR="00220CEE" w:rsidRPr="008C655D" w:rsidRDefault="00000000">
      <w:pPr>
        <w:pStyle w:val="Prrafodelista"/>
        <w:numPr>
          <w:ilvl w:val="1"/>
          <w:numId w:val="2"/>
        </w:numPr>
        <w:tabs>
          <w:tab w:val="left" w:pos="832"/>
        </w:tabs>
        <w:kinsoku w:val="0"/>
        <w:overflowPunct w:val="0"/>
        <w:spacing w:line="360" w:lineRule="auto"/>
        <w:ind w:left="828" w:hanging="357"/>
        <w:rPr>
          <w:sz w:val="22"/>
          <w:szCs w:val="22"/>
        </w:rPr>
      </w:pPr>
      <w:r w:rsidRPr="008C655D">
        <w:rPr>
          <w:sz w:val="22"/>
          <w:szCs w:val="22"/>
        </w:rPr>
        <w:t>Un estudiante no puede realizar dos prácticas simultáneamente.</w:t>
      </w:r>
    </w:p>
    <w:p w14:paraId="389184FD" w14:textId="77777777" w:rsidR="00220CEE" w:rsidRPr="008C655D" w:rsidRDefault="00000000">
      <w:pPr>
        <w:pStyle w:val="Prrafodelista"/>
        <w:numPr>
          <w:ilvl w:val="1"/>
          <w:numId w:val="2"/>
        </w:numPr>
        <w:tabs>
          <w:tab w:val="left" w:pos="832"/>
        </w:tabs>
        <w:kinsoku w:val="0"/>
        <w:overflowPunct w:val="0"/>
        <w:ind w:left="828" w:hanging="357"/>
        <w:rPr>
          <w:sz w:val="22"/>
          <w:szCs w:val="22"/>
        </w:rPr>
      </w:pPr>
      <w:r w:rsidRPr="008C655D">
        <w:rPr>
          <w:sz w:val="22"/>
          <w:szCs w:val="22"/>
        </w:rPr>
        <w:t xml:space="preserve">Para todas las titulaciones UPM, si un alumno alcanza el nodo de finalización, no podrá realizar prácticas extracurriculares a partir del último día del mes en el que esté en disposición de solicitar el título, y tampoco podrá hacer </w:t>
      </w:r>
      <w:proofErr w:type="gramStart"/>
      <w:r w:rsidRPr="008C655D">
        <w:rPr>
          <w:sz w:val="22"/>
          <w:szCs w:val="22"/>
        </w:rPr>
        <w:t>prácticas</w:t>
      </w:r>
      <w:proofErr w:type="gramEnd"/>
      <w:r w:rsidRPr="008C655D">
        <w:rPr>
          <w:sz w:val="22"/>
          <w:szCs w:val="22"/>
        </w:rPr>
        <w:t xml:space="preserve"> aunque se matricule de asignaturas adicionales de esa misma titulación que no necesita dado que ya ha finalizado estudios y ha completado su formación de Grado o Máster</w:t>
      </w:r>
    </w:p>
    <w:p w14:paraId="41A7BE0B" w14:textId="77777777" w:rsidR="00220CEE" w:rsidRPr="008C655D" w:rsidRDefault="00220CEE">
      <w:pPr>
        <w:pStyle w:val="Prrafodelista"/>
        <w:tabs>
          <w:tab w:val="left" w:pos="832"/>
        </w:tabs>
        <w:kinsoku w:val="0"/>
        <w:overflowPunct w:val="0"/>
        <w:ind w:left="831" w:right="133" w:firstLine="0"/>
        <w:rPr>
          <w:sz w:val="22"/>
          <w:szCs w:val="22"/>
        </w:rPr>
      </w:pPr>
    </w:p>
    <w:p w14:paraId="5B32878F" w14:textId="77777777" w:rsidR="00220CEE" w:rsidRPr="008C655D" w:rsidRDefault="00000000">
      <w:pPr>
        <w:pStyle w:val="Prrafodelista"/>
        <w:numPr>
          <w:ilvl w:val="1"/>
          <w:numId w:val="2"/>
        </w:numPr>
        <w:tabs>
          <w:tab w:val="left" w:pos="832"/>
        </w:tabs>
        <w:kinsoku w:val="0"/>
        <w:overflowPunct w:val="0"/>
        <w:ind w:right="133"/>
        <w:rPr>
          <w:sz w:val="22"/>
          <w:szCs w:val="22"/>
        </w:rPr>
      </w:pPr>
      <w:r w:rsidRPr="008C655D">
        <w:rPr>
          <w:sz w:val="22"/>
          <w:szCs w:val="22"/>
        </w:rPr>
        <w:t>Para poder comenzar la práctica será obligatorio que el anexo esté firmado por el estudiante, la empresa y la Vicerrectora de Estudiantes, Empleabilidad y Extensión Universitaria.</w:t>
      </w:r>
    </w:p>
    <w:p w14:paraId="3C875171" w14:textId="77777777" w:rsidR="00220CEE" w:rsidRPr="008C655D" w:rsidRDefault="00220CEE">
      <w:pPr>
        <w:pStyle w:val="Prrafodelista"/>
        <w:rPr>
          <w:sz w:val="22"/>
          <w:szCs w:val="22"/>
        </w:rPr>
      </w:pPr>
    </w:p>
    <w:p w14:paraId="2E4C2362" w14:textId="77777777" w:rsidR="00220CEE" w:rsidRDefault="00000000">
      <w:pPr>
        <w:pStyle w:val="Prrafodelista"/>
        <w:numPr>
          <w:ilvl w:val="1"/>
          <w:numId w:val="2"/>
        </w:numPr>
        <w:tabs>
          <w:tab w:val="left" w:pos="832"/>
        </w:tabs>
        <w:kinsoku w:val="0"/>
        <w:overflowPunct w:val="0"/>
        <w:ind w:right="133"/>
        <w:rPr>
          <w:sz w:val="22"/>
          <w:szCs w:val="22"/>
        </w:rPr>
      </w:pPr>
      <w:r w:rsidRPr="008C655D">
        <w:rPr>
          <w:sz w:val="22"/>
          <w:szCs w:val="22"/>
        </w:rPr>
        <w:t xml:space="preserve">Solo tendrán validez los anexos de prácticas generados a través de la aplicación </w:t>
      </w:r>
      <w:r>
        <w:rPr>
          <w:sz w:val="22"/>
          <w:szCs w:val="22"/>
        </w:rPr>
        <w:t>de la UPM.</w:t>
      </w:r>
    </w:p>
    <w:p w14:paraId="39F63D72" w14:textId="77777777" w:rsidR="00220CEE" w:rsidRDefault="00220CEE">
      <w:pPr>
        <w:pStyle w:val="Textoindependiente"/>
        <w:kinsoku w:val="0"/>
        <w:overflowPunct w:val="0"/>
        <w:spacing w:before="9"/>
      </w:pPr>
    </w:p>
    <w:p w14:paraId="36A005E6" w14:textId="77777777" w:rsidR="00220CEE" w:rsidRDefault="00000000">
      <w:pPr>
        <w:pStyle w:val="Prrafodelista"/>
        <w:numPr>
          <w:ilvl w:val="1"/>
          <w:numId w:val="2"/>
        </w:numPr>
        <w:tabs>
          <w:tab w:val="left" w:pos="832"/>
        </w:tabs>
        <w:kinsoku w:val="0"/>
        <w:overflowPunct w:val="0"/>
        <w:ind w:right="132"/>
        <w:rPr>
          <w:sz w:val="22"/>
          <w:szCs w:val="22"/>
        </w:rPr>
      </w:pPr>
      <w:r>
        <w:rPr>
          <w:sz w:val="22"/>
          <w:szCs w:val="22"/>
        </w:rPr>
        <w:t xml:space="preserve">En el caso de estudiantes de Grado o Máster que demuestren haber sido admitidos en un Máster de la UPM, y que se encontraran realizando una Práctica Externa Extracurricular firmada con anterioridad, podrán continuar y finalizar dicha práctica acorde a las fechas </w:t>
      </w:r>
      <w:proofErr w:type="gramStart"/>
      <w:r>
        <w:rPr>
          <w:sz w:val="22"/>
          <w:szCs w:val="22"/>
        </w:rPr>
        <w:t>establecidas</w:t>
      </w:r>
      <w:proofErr w:type="gramEnd"/>
      <w:r>
        <w:rPr>
          <w:sz w:val="22"/>
          <w:szCs w:val="22"/>
        </w:rPr>
        <w:t xml:space="preserve"> aunque finalicen el Grado (u otro máster previo) de forma efectiva durante el periodo de realización, concluyendo el día 31 de agosto, en todo</w:t>
      </w:r>
      <w:r>
        <w:rPr>
          <w:spacing w:val="-30"/>
          <w:sz w:val="22"/>
          <w:szCs w:val="22"/>
        </w:rPr>
        <w:t xml:space="preserve"> </w:t>
      </w:r>
      <w:r>
        <w:rPr>
          <w:sz w:val="22"/>
          <w:szCs w:val="22"/>
        </w:rPr>
        <w:t>caso.</w:t>
      </w:r>
    </w:p>
    <w:p w14:paraId="340F06F9" w14:textId="77777777" w:rsidR="00220CEE" w:rsidRDefault="00000000">
      <w:pPr>
        <w:pStyle w:val="Textoindependiente"/>
        <w:kinsoku w:val="0"/>
        <w:overflowPunct w:val="0"/>
        <w:ind w:left="831" w:right="126"/>
      </w:pPr>
      <w:r>
        <w:t xml:space="preserve">Para el resto de </w:t>
      </w:r>
      <w:proofErr w:type="gramStart"/>
      <w:r>
        <w:t>alumnos</w:t>
      </w:r>
      <w:proofErr w:type="gramEnd"/>
      <w:r>
        <w:t xml:space="preserve"> que finalicen de forma efectiva los estudios de Grado o Máster, el anexo a la práctica extracurricular deja de surtir efecto a partir del último día del mes en el que el alumno hubiera terminado los estudios, con independencia del plazo inicial de duración estipulado.</w:t>
      </w:r>
    </w:p>
    <w:p w14:paraId="3F8B3DB2" w14:textId="77777777" w:rsidR="00220CEE" w:rsidRDefault="00220CEE">
      <w:pPr>
        <w:pStyle w:val="Textoindependiente"/>
        <w:kinsoku w:val="0"/>
        <w:overflowPunct w:val="0"/>
      </w:pPr>
    </w:p>
    <w:p w14:paraId="5BCABB31" w14:textId="77777777" w:rsidR="00220CEE" w:rsidRDefault="00000000">
      <w:pPr>
        <w:pStyle w:val="Prrafodelista"/>
        <w:numPr>
          <w:ilvl w:val="1"/>
          <w:numId w:val="2"/>
        </w:numPr>
        <w:tabs>
          <w:tab w:val="left" w:pos="793"/>
        </w:tabs>
        <w:kinsoku w:val="0"/>
        <w:overflowPunct w:val="0"/>
        <w:ind w:left="792"/>
        <w:rPr>
          <w:sz w:val="22"/>
          <w:szCs w:val="22"/>
        </w:rPr>
      </w:pPr>
      <w:r>
        <w:rPr>
          <w:sz w:val="22"/>
          <w:szCs w:val="22"/>
        </w:rPr>
        <w:t xml:space="preserve">En el caso de estudiantes de Programas de Movilidad que realicen prácticas éstas podrán </w:t>
      </w:r>
      <w:r>
        <w:rPr>
          <w:sz w:val="22"/>
          <w:szCs w:val="22"/>
        </w:rPr>
        <w:lastRenderedPageBreak/>
        <w:t>ser consideradas como Prácticas Externas Curriculares siempre que en el convenio o acuerdo académico consten el proyecto formativo y los tutores académico y profesional, y se hayan emitido y valorado los informes académicos correspondientes. En este caso, no es preciso proceder a un Reconocimiento de Créditos, siendo el Tribunal de Prácticas Académicas Externas quien valore la estancia y emita una</w:t>
      </w:r>
      <w:r>
        <w:rPr>
          <w:spacing w:val="-33"/>
          <w:sz w:val="22"/>
          <w:szCs w:val="22"/>
        </w:rPr>
        <w:t xml:space="preserve"> </w:t>
      </w:r>
      <w:r>
        <w:rPr>
          <w:sz w:val="22"/>
          <w:szCs w:val="22"/>
        </w:rPr>
        <w:t>calificación.</w:t>
      </w:r>
    </w:p>
    <w:p w14:paraId="0B7C255D" w14:textId="77777777" w:rsidR="00220CEE" w:rsidRDefault="00220CEE">
      <w:pPr>
        <w:pStyle w:val="Textoindependiente"/>
        <w:kinsoku w:val="0"/>
        <w:overflowPunct w:val="0"/>
      </w:pPr>
    </w:p>
    <w:p w14:paraId="34B21D1A" w14:textId="77777777" w:rsidR="00220CEE" w:rsidRDefault="00000000">
      <w:pPr>
        <w:pStyle w:val="Prrafodelista"/>
        <w:numPr>
          <w:ilvl w:val="1"/>
          <w:numId w:val="2"/>
        </w:numPr>
        <w:tabs>
          <w:tab w:val="left" w:pos="793"/>
        </w:tabs>
        <w:kinsoku w:val="0"/>
        <w:overflowPunct w:val="0"/>
        <w:rPr>
          <w:sz w:val="22"/>
          <w:szCs w:val="22"/>
        </w:rPr>
      </w:pPr>
      <w:r>
        <w:rPr>
          <w:sz w:val="22"/>
          <w:szCs w:val="22"/>
        </w:rPr>
        <w:t>Sólo se puede proceder al reconocimiento de las Prácticas Académicas Curriculares en el caso de estudiantes que dispongan de una experiencia profesional mínima de un año relacionada directamente con el ámbito de sus estudios, y adecuada en duración, dedicación y responsabilidades y debidamente acreditada contractualmente. En todo caso, será el órgano colegiado del Centro al que corresponda la competencia quien haga propuesta del reconocimiento a la Comisión de Reconocimiento y Transferencia de Créditos. No se admitirán las peticiones de reconocimiento de prácticas extracurriculares realizadas por el estudiante.</w:t>
      </w:r>
    </w:p>
    <w:p w14:paraId="301350C1" w14:textId="77777777" w:rsidR="00220CEE" w:rsidRDefault="00220CEE">
      <w:pPr>
        <w:pStyle w:val="Prrafodelista"/>
        <w:rPr>
          <w:sz w:val="22"/>
          <w:szCs w:val="22"/>
        </w:rPr>
      </w:pPr>
    </w:p>
    <w:p w14:paraId="700DBB93" w14:textId="77777777" w:rsidR="00220CEE" w:rsidRDefault="00000000">
      <w:pPr>
        <w:pStyle w:val="Prrafodelista"/>
        <w:numPr>
          <w:ilvl w:val="1"/>
          <w:numId w:val="2"/>
        </w:numPr>
        <w:tabs>
          <w:tab w:val="left" w:pos="793"/>
        </w:tabs>
        <w:kinsoku w:val="0"/>
        <w:overflowPunct w:val="0"/>
        <w:rPr>
          <w:sz w:val="22"/>
          <w:szCs w:val="22"/>
        </w:rPr>
      </w:pPr>
      <w:r>
        <w:rPr>
          <w:sz w:val="22"/>
          <w:szCs w:val="22"/>
        </w:rPr>
        <w:t>No se podrán realizar prácticas extracurriculares en Departamentos ni Centros de Investigación de la UPM, a excepción de aquellas que vayan ligadas a Convocatorias de Retos, o similares, de la Alianza EELISA, y cuya ayuda al estudio deberá ajustarse a lo establecido en los acuerdos generales de la universidad y estar financiada con cargo a la convocatoria correspondiente</w:t>
      </w:r>
    </w:p>
    <w:sectPr w:rsidR="00220CEE">
      <w:headerReference w:type="even" r:id="rId9"/>
      <w:headerReference w:type="default" r:id="rId10"/>
      <w:footerReference w:type="even" r:id="rId11"/>
      <w:footerReference w:type="default" r:id="rId12"/>
      <w:headerReference w:type="first" r:id="rId13"/>
      <w:footerReference w:type="first" r:id="rId14"/>
      <w:pgSz w:w="11900" w:h="17340"/>
      <w:pgMar w:top="2220" w:right="1000" w:bottom="1340" w:left="1060" w:header="663" w:footer="1151" w:gutter="0"/>
      <w:cols w:space="720" w:equalWidth="0">
        <w:col w:w="98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63FDA" w14:textId="77777777" w:rsidR="00936D39" w:rsidRDefault="00936D39">
      <w:r>
        <w:separator/>
      </w:r>
    </w:p>
  </w:endnote>
  <w:endnote w:type="continuationSeparator" w:id="0">
    <w:p w14:paraId="2796AB71" w14:textId="77777777" w:rsidR="00936D39" w:rsidRDefault="00936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89238" w14:textId="77777777" w:rsidR="00220CEE" w:rsidRDefault="00220CE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BC24F" w14:textId="77777777" w:rsidR="00220CEE" w:rsidRDefault="00000000">
    <w:pPr>
      <w:pStyle w:val="Textoindependiente"/>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0288" behindDoc="1" locked="0" layoutInCell="0" allowOverlap="1" wp14:anchorId="5CF20430" wp14:editId="4B979C20">
              <wp:simplePos x="0" y="0"/>
              <wp:positionH relativeFrom="page">
                <wp:posOffset>3716020</wp:posOffset>
              </wp:positionH>
              <wp:positionV relativeFrom="page">
                <wp:posOffset>10140315</wp:posOffset>
              </wp:positionV>
              <wp:extent cx="121920" cy="1657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wps:spPr>
                    <wps:txbx>
                      <w:txbxContent>
                        <w:p w14:paraId="777CADB9" w14:textId="77777777" w:rsidR="00220CEE" w:rsidRDefault="00000000">
                          <w:pPr>
                            <w:pStyle w:val="Textoindependiente"/>
                            <w:kinsoku w:val="0"/>
                            <w:overflowPunct w:val="0"/>
                            <w:spacing w:line="245" w:lineRule="exact"/>
                            <w:ind w:left="40"/>
                            <w:rPr>
                              <w:rFonts w:ascii="Calibri" w:hAnsi="Calibri" w:cs="Calibri"/>
                            </w:rPr>
                          </w:pPr>
                          <w:r>
                            <w:rPr>
                              <w:rFonts w:ascii="Calibri" w:hAnsi="Calibri" w:cs="Calibri"/>
                            </w:rPr>
                            <w:fldChar w:fldCharType="begin"/>
                          </w:r>
                          <w:r>
                            <w:rPr>
                              <w:rFonts w:ascii="Calibri" w:hAnsi="Calibri" w:cs="Calibri"/>
                            </w:rPr>
                            <w:instrText xml:space="preserve"> PAGE </w:instrText>
                          </w:r>
                          <w:r>
                            <w:rPr>
                              <w:rFonts w:ascii="Calibri" w:hAnsi="Calibri" w:cs="Calibri"/>
                            </w:rPr>
                            <w:fldChar w:fldCharType="separate"/>
                          </w:r>
                          <w:r>
                            <w:rPr>
                              <w:rFonts w:ascii="Calibri" w:hAnsi="Calibri" w:cs="Calibri"/>
                            </w:rPr>
                            <w:t>4</w:t>
                          </w:r>
                          <w:r>
                            <w:rPr>
                              <w:rFonts w:ascii="Calibri" w:hAnsi="Calibri" w:cs="Calibri"/>
                            </w:rPr>
                            <w:fldChar w:fldCharType="end"/>
                          </w:r>
                        </w:p>
                      </w:txbxContent>
                    </wps:txbx>
                    <wps:bodyPr rot="0" vert="horz" wrap="square" lIns="0" tIns="0" rIns="0" bIns="0" anchor="t" anchorCtr="0" upright="1">
                      <a:noAutofit/>
                    </wps:bodyPr>
                  </wps:wsp>
                </a:graphicData>
              </a:graphic>
            </wp:anchor>
          </w:drawing>
        </mc:Choice>
        <mc:Fallback>
          <w:pict>
            <v:shapetype w14:anchorId="5CF20430" id="_x0000_t202" coordsize="21600,21600" o:spt="202" path="m,l,21600r21600,l21600,xe">
              <v:stroke joinstyle="miter"/>
              <v:path gradientshapeok="t" o:connecttype="rect"/>
            </v:shapetype>
            <v:shape id="Text Box 2" o:spid="_x0000_s1027" type="#_x0000_t202" style="position:absolute;margin-left:292.6pt;margin-top:798.45pt;width:9.6pt;height:13.0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" o:allowincell="f" filled="f" stroked="f">
              <v:textbox inset="0,0,0,0">
                <w:txbxContent>
                  <w:p w14:paraId="777CADB9" w14:textId="77777777" w:rsidR="00220CEE" w:rsidRDefault="00000000">
                    <w:pPr>
                      <w:pStyle w:val="Textoindependiente"/>
                      <w:kinsoku w:val="0"/>
                      <w:overflowPunct w:val="0"/>
                      <w:spacing w:line="245" w:lineRule="exact"/>
                      <w:ind w:left="40"/>
                      <w:rPr>
                        <w:rFonts w:ascii="Calibri" w:hAnsi="Calibri" w:cs="Calibri"/>
                      </w:rPr>
                    </w:pPr>
                    <w:r>
                      <w:rPr>
                        <w:rFonts w:ascii="Calibri" w:hAnsi="Calibri" w:cs="Calibri"/>
                      </w:rPr>
                      <w:fldChar w:fldCharType="begin"/>
                    </w:r>
                    <w:r>
                      <w:rPr>
                        <w:rFonts w:ascii="Calibri" w:hAnsi="Calibri" w:cs="Calibri"/>
                      </w:rPr>
                      <w:instrText xml:space="preserve"> PAGE </w:instrText>
                    </w:r>
                    <w:r>
                      <w:rPr>
                        <w:rFonts w:ascii="Calibri" w:hAnsi="Calibri" w:cs="Calibri"/>
                      </w:rPr>
                      <w:fldChar w:fldCharType="separate"/>
                    </w:r>
                    <w:r>
                      <w:rPr>
                        <w:rFonts w:ascii="Calibri" w:hAnsi="Calibri" w:cs="Calibri"/>
                      </w:rPr>
                      <w:t>4</w:t>
                    </w:r>
                    <w:r>
                      <w:rPr>
                        <w:rFonts w:ascii="Calibri" w:hAnsi="Calibri" w:cs="Calibri"/>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4E50D" w14:textId="77777777" w:rsidR="00220CEE" w:rsidRDefault="00220CE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C927F" w14:textId="77777777" w:rsidR="00936D39" w:rsidRDefault="00936D39">
      <w:r>
        <w:separator/>
      </w:r>
    </w:p>
  </w:footnote>
  <w:footnote w:type="continuationSeparator" w:id="0">
    <w:p w14:paraId="11E4C38B" w14:textId="77777777" w:rsidR="00936D39" w:rsidRDefault="00936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61159" w14:textId="77777777" w:rsidR="00220CEE" w:rsidRDefault="00220CE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F4556" w14:textId="77777777" w:rsidR="00220CEE" w:rsidRDefault="00000000">
    <w:pPr>
      <w:pStyle w:val="Textoindependiente"/>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9264" behindDoc="1" locked="0" layoutInCell="0" allowOverlap="1" wp14:anchorId="47098A37" wp14:editId="54084954">
              <wp:simplePos x="0" y="0"/>
              <wp:positionH relativeFrom="page">
                <wp:posOffset>739140</wp:posOffset>
              </wp:positionH>
              <wp:positionV relativeFrom="page">
                <wp:posOffset>421005</wp:posOffset>
              </wp:positionV>
              <wp:extent cx="6108700" cy="9906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8700" cy="990600"/>
                      </a:xfrm>
                      <a:prstGeom prst="rect">
                        <a:avLst/>
                      </a:prstGeom>
                      <a:noFill/>
                      <a:ln>
                        <a:noFill/>
                      </a:ln>
                    </wps:spPr>
                    <wps:txbx>
                      <w:txbxContent>
                        <w:p w14:paraId="124D46AD" w14:textId="77777777" w:rsidR="00220CEE" w:rsidRDefault="00000000">
                          <w:pPr>
                            <w:widowControl/>
                            <w:autoSpaceDE/>
                            <w:autoSpaceDN/>
                            <w:adjustRightInd/>
                            <w:spacing w:line="1560" w:lineRule="atLeast"/>
                            <w:rPr>
                              <w:rFonts w:ascii="Times New Roman" w:hAnsi="Times New Roman" w:cs="Times New Roman"/>
                            </w:rPr>
                          </w:pPr>
                          <w:r>
                            <w:rPr>
                              <w:noProof/>
                            </w:rPr>
                            <w:drawing>
                              <wp:inline distT="0" distB="0" distL="0" distR="0" wp14:anchorId="32BA767F" wp14:editId="3660BA48">
                                <wp:extent cx="1414780" cy="65659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3" name="image1.png"/>
                                        <pic:cNvPicPr/>
                                      </pic:nvPicPr>
                                      <pic:blipFill>
                                        <a:blip r:embed="rId1" cstate="print"/>
                                        <a:stretch>
                                          <a:fillRect/>
                                        </a:stretch>
                                      </pic:blipFill>
                                      <pic:spPr>
                                        <a:xfrm>
                                          <a:off x="0" y="0"/>
                                          <a:ext cx="1414780" cy="656590"/>
                                        </a:xfrm>
                                        <a:prstGeom prst="rect">
                                          <a:avLst/>
                                        </a:prstGeom>
                                      </pic:spPr>
                                    </pic:pic>
                                  </a:graphicData>
                                </a:graphic>
                              </wp:inline>
                            </w:drawing>
                          </w:r>
                        </w:p>
                        <w:p w14:paraId="399D2687" w14:textId="77777777" w:rsidR="00220CEE" w:rsidRDefault="00220CEE">
                          <w:pPr>
                            <w:rPr>
                              <w:rFonts w:ascii="Times New Roman" w:hAnsi="Times New Roman" w:cs="Times New Roman"/>
                            </w:rPr>
                          </w:pPr>
                        </w:p>
                      </w:txbxContent>
                    </wps:txbx>
                    <wps:bodyPr rot="0" vert="horz" wrap="square" lIns="0" tIns="0" rIns="0" bIns="0" anchor="t" anchorCtr="0" upright="1">
                      <a:noAutofit/>
                    </wps:bodyPr>
                  </wps:wsp>
                </a:graphicData>
              </a:graphic>
            </wp:anchor>
          </w:drawing>
        </mc:Choice>
        <mc:Fallback>
          <w:pict>
            <v:rect w14:anchorId="47098A37" id="Rectangle 1" o:spid="_x0000_s1026" style="position:absolute;margin-left:58.2pt;margin-top:33.15pt;width:481pt;height:78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" o:allowincell="f" filled="f" stroked="f">
              <v:textbox inset="0,0,0,0">
                <w:txbxContent>
                  <w:p w14:paraId="124D46AD" w14:textId="77777777" w:rsidR="00220CEE" w:rsidRDefault="00000000">
                    <w:pPr>
                      <w:widowControl/>
                      <w:autoSpaceDE/>
                      <w:autoSpaceDN/>
                      <w:adjustRightInd/>
                      <w:spacing w:line="1560" w:lineRule="atLeast"/>
                      <w:rPr>
                        <w:rFonts w:ascii="Times New Roman" w:hAnsi="Times New Roman" w:cs="Times New Roman"/>
                      </w:rPr>
                    </w:pPr>
                    <w:r>
                      <w:rPr>
                        <w:noProof/>
                      </w:rPr>
                      <w:drawing>
                        <wp:inline distT="0" distB="0" distL="0" distR="0" wp14:anchorId="32BA767F" wp14:editId="3660BA48">
                          <wp:extent cx="1414780" cy="65659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3" name="image1.png"/>
                                  <pic:cNvPicPr/>
                                </pic:nvPicPr>
                                <pic:blipFill>
                                  <a:blip r:embed="rId1" cstate="print"/>
                                  <a:stretch>
                                    <a:fillRect/>
                                  </a:stretch>
                                </pic:blipFill>
                                <pic:spPr>
                                  <a:xfrm>
                                    <a:off x="0" y="0"/>
                                    <a:ext cx="1414780" cy="656590"/>
                                  </a:xfrm>
                                  <a:prstGeom prst="rect">
                                    <a:avLst/>
                                  </a:prstGeom>
                                </pic:spPr>
                              </pic:pic>
                            </a:graphicData>
                          </a:graphic>
                        </wp:inline>
                      </w:drawing>
                    </w:r>
                  </w:p>
                  <w:p w14:paraId="399D2687" w14:textId="77777777" w:rsidR="00220CEE" w:rsidRDefault="00220CEE">
                    <w:pPr>
                      <w:rPr>
                        <w:rFonts w:ascii="Times New Roman" w:hAnsi="Times New Roman" w:cs="Times New Roman"/>
                      </w:rPr>
                    </w:pP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13C01" w14:textId="77777777" w:rsidR="00220CEE" w:rsidRDefault="00220CE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402"/>
    <w:lvl w:ilvl="0">
      <w:start w:val="1"/>
      <w:numFmt w:val="decimal"/>
      <w:lvlText w:val="%1."/>
      <w:lvlJc w:val="left"/>
      <w:pPr>
        <w:ind w:left="113" w:hanging="284"/>
      </w:pPr>
      <w:rPr>
        <w:b w:val="0"/>
        <w:bCs w:val="0"/>
        <w:spacing w:val="-1"/>
        <w:w w:val="100"/>
      </w:rPr>
    </w:lvl>
    <w:lvl w:ilvl="1">
      <w:start w:val="1"/>
      <w:numFmt w:val="lowerLetter"/>
      <w:lvlText w:val="%2."/>
      <w:lvlJc w:val="left"/>
      <w:pPr>
        <w:ind w:left="832" w:hanging="360"/>
      </w:pPr>
      <w:rPr>
        <w:b w:val="0"/>
        <w:bCs w:val="0"/>
        <w:spacing w:val="-1"/>
        <w:w w:val="100"/>
      </w:rPr>
    </w:lvl>
    <w:lvl w:ilvl="2">
      <w:numFmt w:val="bullet"/>
      <w:lvlText w:val="•"/>
      <w:lvlJc w:val="left"/>
      <w:pPr>
        <w:ind w:left="1844" w:hanging="360"/>
      </w:pPr>
    </w:lvl>
    <w:lvl w:ilvl="3">
      <w:numFmt w:val="bullet"/>
      <w:lvlText w:val="•"/>
      <w:lvlJc w:val="left"/>
      <w:pPr>
        <w:ind w:left="2848" w:hanging="360"/>
      </w:pPr>
    </w:lvl>
    <w:lvl w:ilvl="4">
      <w:numFmt w:val="bullet"/>
      <w:lvlText w:val="•"/>
      <w:lvlJc w:val="left"/>
      <w:pPr>
        <w:ind w:left="3853" w:hanging="360"/>
      </w:pPr>
    </w:lvl>
    <w:lvl w:ilvl="5">
      <w:numFmt w:val="bullet"/>
      <w:lvlText w:val="•"/>
      <w:lvlJc w:val="left"/>
      <w:pPr>
        <w:ind w:left="4857" w:hanging="360"/>
      </w:pPr>
    </w:lvl>
    <w:lvl w:ilvl="6">
      <w:numFmt w:val="bullet"/>
      <w:lvlText w:val="•"/>
      <w:lvlJc w:val="left"/>
      <w:pPr>
        <w:ind w:left="5861" w:hanging="360"/>
      </w:pPr>
    </w:lvl>
    <w:lvl w:ilvl="7">
      <w:numFmt w:val="bullet"/>
      <w:lvlText w:val="•"/>
      <w:lvlJc w:val="left"/>
      <w:pPr>
        <w:ind w:left="6866" w:hanging="360"/>
      </w:pPr>
    </w:lvl>
    <w:lvl w:ilvl="8">
      <w:numFmt w:val="bullet"/>
      <w:lvlText w:val="•"/>
      <w:lvlJc w:val="left"/>
      <w:pPr>
        <w:ind w:left="7870" w:hanging="360"/>
      </w:pPr>
    </w:lvl>
  </w:abstractNum>
  <w:abstractNum w:abstractNumId="1" w15:restartNumberingAfterBreak="0">
    <w:nsid w:val="00000403"/>
    <w:multiLevelType w:val="multilevel"/>
    <w:tmpl w:val="00000403"/>
    <w:lvl w:ilvl="0">
      <w:start w:val="4"/>
      <w:numFmt w:val="decimal"/>
      <w:lvlText w:val="%1."/>
      <w:lvlJc w:val="left"/>
      <w:pPr>
        <w:ind w:left="111" w:hanging="339"/>
      </w:pPr>
      <w:rPr>
        <w:rFonts w:ascii="Arial" w:hAnsi="Arial" w:cs="Arial"/>
        <w:b/>
        <w:bCs/>
        <w:spacing w:val="-1"/>
        <w:w w:val="100"/>
        <w:sz w:val="22"/>
        <w:szCs w:val="22"/>
      </w:rPr>
    </w:lvl>
    <w:lvl w:ilvl="1">
      <w:start w:val="1"/>
      <w:numFmt w:val="lowerLetter"/>
      <w:lvlText w:val="%2."/>
      <w:lvlJc w:val="left"/>
      <w:pPr>
        <w:ind w:left="831" w:hanging="360"/>
      </w:pPr>
      <w:rPr>
        <w:rFonts w:ascii="Arial" w:hAnsi="Arial" w:cs="Arial"/>
        <w:b w:val="0"/>
        <w:bCs w:val="0"/>
        <w:spacing w:val="-1"/>
        <w:w w:val="100"/>
        <w:sz w:val="22"/>
        <w:szCs w:val="22"/>
      </w:rPr>
    </w:lvl>
    <w:lvl w:ilvl="2">
      <w:numFmt w:val="bullet"/>
      <w:lvlText w:val="•"/>
      <w:lvlJc w:val="left"/>
      <w:pPr>
        <w:ind w:left="1844" w:hanging="360"/>
      </w:pPr>
    </w:lvl>
    <w:lvl w:ilvl="3">
      <w:numFmt w:val="bullet"/>
      <w:lvlText w:val="•"/>
      <w:lvlJc w:val="left"/>
      <w:pPr>
        <w:ind w:left="2848" w:hanging="360"/>
      </w:pPr>
    </w:lvl>
    <w:lvl w:ilvl="4">
      <w:numFmt w:val="bullet"/>
      <w:lvlText w:val="•"/>
      <w:lvlJc w:val="left"/>
      <w:pPr>
        <w:ind w:left="3853" w:hanging="360"/>
      </w:pPr>
    </w:lvl>
    <w:lvl w:ilvl="5">
      <w:numFmt w:val="bullet"/>
      <w:lvlText w:val="•"/>
      <w:lvlJc w:val="left"/>
      <w:pPr>
        <w:ind w:left="4857" w:hanging="360"/>
      </w:pPr>
    </w:lvl>
    <w:lvl w:ilvl="6">
      <w:numFmt w:val="bullet"/>
      <w:lvlText w:val="•"/>
      <w:lvlJc w:val="left"/>
      <w:pPr>
        <w:ind w:left="5861" w:hanging="360"/>
      </w:pPr>
    </w:lvl>
    <w:lvl w:ilvl="7">
      <w:numFmt w:val="bullet"/>
      <w:lvlText w:val="•"/>
      <w:lvlJc w:val="left"/>
      <w:pPr>
        <w:ind w:left="6866" w:hanging="360"/>
      </w:pPr>
    </w:lvl>
    <w:lvl w:ilvl="8">
      <w:numFmt w:val="bullet"/>
      <w:lvlText w:val="•"/>
      <w:lvlJc w:val="left"/>
      <w:pPr>
        <w:ind w:left="7870" w:hanging="360"/>
      </w:pPr>
    </w:lvl>
  </w:abstractNum>
  <w:num w:numId="1" w16cid:durableId="903905214">
    <w:abstractNumId w:val="0"/>
  </w:num>
  <w:num w:numId="2" w16cid:durableId="2114744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E9"/>
    <w:rsid w:val="00000477"/>
    <w:rsid w:val="00000EE7"/>
    <w:rsid w:val="0000574E"/>
    <w:rsid w:val="00017CAD"/>
    <w:rsid w:val="00070A5B"/>
    <w:rsid w:val="000845A3"/>
    <w:rsid w:val="000909C1"/>
    <w:rsid w:val="000A5FA0"/>
    <w:rsid w:val="00125413"/>
    <w:rsid w:val="001B691D"/>
    <w:rsid w:val="001D7E46"/>
    <w:rsid w:val="001F5F89"/>
    <w:rsid w:val="0020170F"/>
    <w:rsid w:val="00217B4F"/>
    <w:rsid w:val="00220CEE"/>
    <w:rsid w:val="002621EF"/>
    <w:rsid w:val="0029376A"/>
    <w:rsid w:val="002A6927"/>
    <w:rsid w:val="002A7DD1"/>
    <w:rsid w:val="002B48C6"/>
    <w:rsid w:val="002B6234"/>
    <w:rsid w:val="002D0EC7"/>
    <w:rsid w:val="002F2802"/>
    <w:rsid w:val="003032C6"/>
    <w:rsid w:val="0033471B"/>
    <w:rsid w:val="003A2A38"/>
    <w:rsid w:val="003A6D39"/>
    <w:rsid w:val="003A7B4F"/>
    <w:rsid w:val="003E526D"/>
    <w:rsid w:val="00450222"/>
    <w:rsid w:val="004C022A"/>
    <w:rsid w:val="004C34ED"/>
    <w:rsid w:val="004E31CE"/>
    <w:rsid w:val="005C4FB6"/>
    <w:rsid w:val="00604787"/>
    <w:rsid w:val="006E43D2"/>
    <w:rsid w:val="00717569"/>
    <w:rsid w:val="00717B85"/>
    <w:rsid w:val="00727081"/>
    <w:rsid w:val="007341BC"/>
    <w:rsid w:val="007510D2"/>
    <w:rsid w:val="007D132A"/>
    <w:rsid w:val="007E6A82"/>
    <w:rsid w:val="0083785D"/>
    <w:rsid w:val="008710F6"/>
    <w:rsid w:val="008C0D73"/>
    <w:rsid w:val="008C27FF"/>
    <w:rsid w:val="008C6452"/>
    <w:rsid w:val="008C655D"/>
    <w:rsid w:val="008E13A7"/>
    <w:rsid w:val="009347AF"/>
    <w:rsid w:val="00936D39"/>
    <w:rsid w:val="00951712"/>
    <w:rsid w:val="009E4078"/>
    <w:rsid w:val="00A917B5"/>
    <w:rsid w:val="00A95535"/>
    <w:rsid w:val="00AD25FF"/>
    <w:rsid w:val="00AE43F2"/>
    <w:rsid w:val="00B23DC9"/>
    <w:rsid w:val="00B35E21"/>
    <w:rsid w:val="00B8787B"/>
    <w:rsid w:val="00BD23DC"/>
    <w:rsid w:val="00C123E5"/>
    <w:rsid w:val="00C50563"/>
    <w:rsid w:val="00C5550C"/>
    <w:rsid w:val="00D06408"/>
    <w:rsid w:val="00D249ED"/>
    <w:rsid w:val="00D638BD"/>
    <w:rsid w:val="00D958BA"/>
    <w:rsid w:val="00DA1BBE"/>
    <w:rsid w:val="00DA6037"/>
    <w:rsid w:val="00DB2411"/>
    <w:rsid w:val="00DD04E2"/>
    <w:rsid w:val="00DF0E33"/>
    <w:rsid w:val="00DF6949"/>
    <w:rsid w:val="00E172A9"/>
    <w:rsid w:val="00E52C13"/>
    <w:rsid w:val="00E854D4"/>
    <w:rsid w:val="00EC1A05"/>
    <w:rsid w:val="00EC3C6A"/>
    <w:rsid w:val="00F57809"/>
    <w:rsid w:val="00F77BE9"/>
    <w:rsid w:val="00F853E0"/>
    <w:rsid w:val="00FA51EE"/>
    <w:rsid w:val="00FA6D89"/>
    <w:rsid w:val="00FC068E"/>
    <w:rsid w:val="00FE22D3"/>
    <w:rsid w:val="0A3B0739"/>
    <w:rsid w:val="10F55175"/>
    <w:rsid w:val="39E437B4"/>
    <w:rsid w:val="646853EC"/>
    <w:rsid w:val="6AD7424D"/>
    <w:rsid w:val="7F685825"/>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256A79"/>
  <w14:defaultImageDpi w14:val="0"/>
  <w15:docId w15:val="{D244DE39-BE09-4375-8411-EAFE412A6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s-ES" w:eastAsia="es-E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Arial" w:hAnsi="Arial" w:cs="Arial"/>
      <w:sz w:val="24"/>
      <w:szCs w:val="24"/>
    </w:rPr>
  </w:style>
  <w:style w:type="paragraph" w:styleId="Ttulo1">
    <w:name w:val="heading 1"/>
    <w:basedOn w:val="Normal"/>
    <w:next w:val="Normal"/>
    <w:link w:val="Ttulo1Car"/>
    <w:uiPriority w:val="1"/>
    <w:qFormat/>
    <w:pPr>
      <w:ind w:left="113"/>
      <w:outlineLvl w:val="0"/>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Encabezado">
    <w:name w:val="header"/>
    <w:basedOn w:val="Normal"/>
    <w:link w:val="EncabezadoCar"/>
    <w:uiPriority w:val="99"/>
    <w:unhideWhenUsed/>
    <w:qFormat/>
    <w:pPr>
      <w:tabs>
        <w:tab w:val="center" w:pos="4252"/>
        <w:tab w:val="right" w:pos="8504"/>
      </w:tabs>
    </w:pPr>
  </w:style>
  <w:style w:type="paragraph" w:styleId="Piedepgina">
    <w:name w:val="footer"/>
    <w:basedOn w:val="Normal"/>
    <w:link w:val="PiedepginaCar"/>
    <w:uiPriority w:val="99"/>
    <w:unhideWhenUsed/>
    <w:qFormat/>
    <w:pPr>
      <w:tabs>
        <w:tab w:val="center" w:pos="4252"/>
        <w:tab w:val="right" w:pos="8504"/>
      </w:tabs>
    </w:pPr>
  </w:style>
  <w:style w:type="paragraph" w:styleId="Textoindependiente">
    <w:name w:val="Body Text"/>
    <w:basedOn w:val="Normal"/>
    <w:link w:val="TextoindependienteCar"/>
    <w:uiPriority w:val="1"/>
    <w:qFormat/>
    <w:rPr>
      <w:sz w:val="22"/>
      <w:szCs w:val="22"/>
    </w:rPr>
  </w:style>
  <w:style w:type="paragraph" w:styleId="Textosinformato">
    <w:name w:val="Plain Text"/>
    <w:basedOn w:val="Normal"/>
    <w:link w:val="TextosinformatoCar"/>
    <w:uiPriority w:val="99"/>
    <w:semiHidden/>
    <w:unhideWhenUsed/>
    <w:qFormat/>
    <w:pPr>
      <w:widowControl/>
      <w:autoSpaceDE/>
      <w:autoSpaceDN/>
      <w:adjustRightInd/>
    </w:pPr>
    <w:rPr>
      <w:rFonts w:ascii="Calibri" w:eastAsiaTheme="minorHAnsi" w:hAnsi="Calibri" w:cstheme="minorBidi"/>
      <w:sz w:val="22"/>
      <w:szCs w:val="21"/>
      <w:lang w:eastAsia="en-US"/>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uiPriority w:val="99"/>
    <w:semiHidden/>
    <w:qFormat/>
    <w:rPr>
      <w:rFonts w:ascii="Arial" w:hAnsi="Arial" w:cs="Arial"/>
      <w:sz w:val="24"/>
      <w:szCs w:val="24"/>
    </w:rPr>
  </w:style>
  <w:style w:type="character" w:customStyle="1" w:styleId="Ttulo1Car">
    <w:name w:val="Título 1 Car"/>
    <w:basedOn w:val="Fuentedeprrafopredeter"/>
    <w:link w:val="Ttulo1"/>
    <w:uiPriority w:val="9"/>
    <w:qFormat/>
    <w:rPr>
      <w:rFonts w:asciiTheme="majorHAnsi" w:eastAsiaTheme="majorEastAsia" w:hAnsiTheme="majorHAnsi" w:cstheme="majorBidi"/>
      <w:b/>
      <w:bCs/>
      <w:kern w:val="32"/>
      <w:sz w:val="32"/>
      <w:szCs w:val="32"/>
    </w:rPr>
  </w:style>
  <w:style w:type="paragraph" w:styleId="Prrafodelista">
    <w:name w:val="List Paragraph"/>
    <w:basedOn w:val="Normal"/>
    <w:uiPriority w:val="1"/>
    <w:qFormat/>
    <w:pPr>
      <w:ind w:left="832" w:right="130" w:hanging="360"/>
      <w:jc w:val="both"/>
    </w:pPr>
  </w:style>
  <w:style w:type="paragraph" w:customStyle="1" w:styleId="TableParagraph">
    <w:name w:val="Table Paragraph"/>
    <w:basedOn w:val="Normal"/>
    <w:uiPriority w:val="1"/>
    <w:qFormat/>
    <w:pPr>
      <w:ind w:left="105"/>
    </w:pPr>
  </w:style>
  <w:style w:type="character" w:customStyle="1" w:styleId="TextodegloboCar">
    <w:name w:val="Texto de globo Car"/>
    <w:basedOn w:val="Fuentedeprrafopredeter"/>
    <w:link w:val="Textodeglobo"/>
    <w:uiPriority w:val="99"/>
    <w:semiHidden/>
    <w:qFormat/>
    <w:rPr>
      <w:rFonts w:ascii="Segoe UI" w:hAnsi="Segoe UI" w:cs="Segoe UI"/>
      <w:sz w:val="18"/>
      <w:szCs w:val="18"/>
    </w:rPr>
  </w:style>
  <w:style w:type="character" w:customStyle="1" w:styleId="EncabezadoCar">
    <w:name w:val="Encabezado Car"/>
    <w:basedOn w:val="Fuentedeprrafopredeter"/>
    <w:link w:val="Encabezado"/>
    <w:uiPriority w:val="99"/>
    <w:qFormat/>
    <w:rPr>
      <w:rFonts w:ascii="Arial" w:hAnsi="Arial" w:cs="Arial"/>
      <w:sz w:val="24"/>
      <w:szCs w:val="24"/>
    </w:rPr>
  </w:style>
  <w:style w:type="character" w:customStyle="1" w:styleId="PiedepginaCar">
    <w:name w:val="Pie de página Car"/>
    <w:basedOn w:val="Fuentedeprrafopredeter"/>
    <w:link w:val="Piedepgina"/>
    <w:uiPriority w:val="99"/>
    <w:qFormat/>
    <w:rPr>
      <w:rFonts w:ascii="Arial" w:hAnsi="Arial" w:cs="Arial"/>
      <w:sz w:val="24"/>
      <w:szCs w:val="24"/>
    </w:rPr>
  </w:style>
  <w:style w:type="character" w:customStyle="1" w:styleId="TextosinformatoCar">
    <w:name w:val="Texto sin formato Car"/>
    <w:basedOn w:val="Fuentedeprrafopredeter"/>
    <w:link w:val="Textosinformato"/>
    <w:uiPriority w:val="99"/>
    <w:semiHidden/>
    <w:qFormat/>
    <w:rPr>
      <w:rFonts w:ascii="Calibri" w:eastAsiaTheme="minorHAnsi" w:hAnsi="Calibr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10EA5F-473C-4CA6-B1D4-B22018CAA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1251</Words>
  <Characters>6886</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anaisabel.torres</dc:creator>
  <cp:lastModifiedBy>ISABEL CARRILLO RAMIRO</cp:lastModifiedBy>
  <cp:revision>9</cp:revision>
  <cp:lastPrinted>2025-06-09T07:07:00Z</cp:lastPrinted>
  <dcterms:created xsi:type="dcterms:W3CDTF">2023-07-07T09:03:00Z</dcterms:created>
  <dcterms:modified xsi:type="dcterms:W3CDTF">2025-06-18T19:30:00Z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11 para Word</vt:lpwstr>
  </property>
  <property fmtid="{D5CDD505-2E9C-101B-9397-08002B2CF9AE}" pid="3" name="KSOProductBuildVer">
    <vt:lpwstr>3082-12.2.0.21179</vt:lpwstr>
  </property>
  <property fmtid="{D5CDD505-2E9C-101B-9397-08002B2CF9AE}" pid="4" name="ICV">
    <vt:lpwstr>4DD07A316C114EC7B8C4987955FCEDE9_13</vt:lpwstr>
  </property>
</Properties>
</file>